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1DC" w:rsidRPr="00B27E73" w:rsidRDefault="006671DC" w:rsidP="00ED6D9A">
      <w:pPr>
        <w:jc w:val="center"/>
        <w:rPr>
          <w:b/>
          <w:bCs/>
          <w:sz w:val="20"/>
        </w:rPr>
      </w:pPr>
    </w:p>
    <w:p w:rsidR="004172E2" w:rsidRDefault="00ED6D9A" w:rsidP="00ED6D9A">
      <w:pPr>
        <w:jc w:val="center"/>
        <w:rPr>
          <w:b/>
          <w:bCs/>
          <w:sz w:val="22"/>
          <w:szCs w:val="22"/>
        </w:rPr>
      </w:pPr>
      <w:r w:rsidRPr="00B27E73">
        <w:rPr>
          <w:b/>
          <w:bCs/>
          <w:sz w:val="22"/>
          <w:szCs w:val="22"/>
        </w:rPr>
        <w:t>PONENCIA PROYEC</w:t>
      </w:r>
      <w:r w:rsidR="00A52453" w:rsidRPr="00B27E73">
        <w:rPr>
          <w:b/>
          <w:bCs/>
          <w:sz w:val="22"/>
          <w:szCs w:val="22"/>
        </w:rPr>
        <w:t xml:space="preserve">TO DE ACUERDO </w:t>
      </w:r>
    </w:p>
    <w:p w:rsidR="004172E2" w:rsidRDefault="004172E2" w:rsidP="00ED6D9A">
      <w:pPr>
        <w:jc w:val="center"/>
        <w:rPr>
          <w:b/>
          <w:bCs/>
          <w:sz w:val="22"/>
          <w:szCs w:val="22"/>
        </w:rPr>
      </w:pPr>
    </w:p>
    <w:p w:rsidR="00F261D6" w:rsidRDefault="00A52453" w:rsidP="00ED6D9A">
      <w:pPr>
        <w:jc w:val="center"/>
        <w:rPr>
          <w:b/>
          <w:bCs/>
          <w:sz w:val="22"/>
          <w:szCs w:val="22"/>
        </w:rPr>
      </w:pPr>
      <w:r w:rsidRPr="00B27E73">
        <w:rPr>
          <w:b/>
          <w:bCs/>
          <w:sz w:val="22"/>
          <w:szCs w:val="22"/>
        </w:rPr>
        <w:t>No.</w:t>
      </w:r>
      <w:r w:rsidR="004172E2">
        <w:rPr>
          <w:b/>
          <w:bCs/>
          <w:sz w:val="22"/>
          <w:szCs w:val="22"/>
        </w:rPr>
        <w:t>559 D</w:t>
      </w:r>
      <w:r w:rsidRPr="00B27E73">
        <w:rPr>
          <w:b/>
          <w:bCs/>
          <w:sz w:val="22"/>
          <w:szCs w:val="22"/>
        </w:rPr>
        <w:t>E  20</w:t>
      </w:r>
      <w:r w:rsidR="00F261D6" w:rsidRPr="00B27E73">
        <w:rPr>
          <w:b/>
          <w:bCs/>
          <w:sz w:val="22"/>
          <w:szCs w:val="22"/>
        </w:rPr>
        <w:t>25</w:t>
      </w:r>
    </w:p>
    <w:p w:rsidR="004172E2" w:rsidRPr="004172E2" w:rsidRDefault="004172E2" w:rsidP="004172E2">
      <w:pPr>
        <w:jc w:val="center"/>
        <w:rPr>
          <w:bCs/>
          <w:sz w:val="22"/>
          <w:szCs w:val="22"/>
        </w:rPr>
      </w:pPr>
      <w:r w:rsidRPr="004172E2">
        <w:rPr>
          <w:bCs/>
          <w:sz w:val="22"/>
          <w:szCs w:val="22"/>
        </w:rPr>
        <w:t>"Por medio del cual se crean e</w:t>
      </w:r>
      <w:r>
        <w:rPr>
          <w:bCs/>
          <w:sz w:val="22"/>
          <w:szCs w:val="22"/>
        </w:rPr>
        <w:t xml:space="preserve"> </w:t>
      </w:r>
      <w:r w:rsidRPr="004172E2">
        <w:rPr>
          <w:bCs/>
          <w:sz w:val="22"/>
          <w:szCs w:val="22"/>
        </w:rPr>
        <w:t>implementan frentes de seguridad y/o zonas seguras en los puntos críticos que</w:t>
      </w:r>
      <w:r>
        <w:rPr>
          <w:bCs/>
          <w:sz w:val="22"/>
          <w:szCs w:val="22"/>
        </w:rPr>
        <w:t xml:space="preserve"> </w:t>
      </w:r>
      <w:r w:rsidRPr="004172E2">
        <w:rPr>
          <w:bCs/>
          <w:sz w:val="22"/>
          <w:szCs w:val="22"/>
        </w:rPr>
        <w:t>afectan a la convivencia y la seguridad en Bogotá y se dictan otras disposiciones”</w:t>
      </w:r>
    </w:p>
    <w:p w:rsidR="004172E2" w:rsidRDefault="004172E2" w:rsidP="004172E2">
      <w:pPr>
        <w:jc w:val="center"/>
        <w:rPr>
          <w:rFonts w:cs="Arial"/>
          <w:bCs/>
          <w:i/>
          <w:sz w:val="22"/>
          <w:szCs w:val="22"/>
          <w:lang w:val="es-CO" w:eastAsia="es-CO"/>
        </w:rPr>
      </w:pPr>
    </w:p>
    <w:p w:rsidR="004172E2" w:rsidRDefault="004172E2" w:rsidP="004172E2">
      <w:pPr>
        <w:jc w:val="center"/>
        <w:rPr>
          <w:rFonts w:cs="Arial"/>
          <w:b/>
          <w:bCs/>
          <w:sz w:val="22"/>
          <w:szCs w:val="22"/>
          <w:lang w:val="es-CO" w:eastAsia="es-CO"/>
        </w:rPr>
      </w:pPr>
      <w:r w:rsidRPr="004172E2">
        <w:rPr>
          <w:rFonts w:cs="Arial"/>
          <w:b/>
          <w:bCs/>
          <w:sz w:val="22"/>
          <w:szCs w:val="22"/>
          <w:lang w:val="es-CO" w:eastAsia="es-CO"/>
        </w:rPr>
        <w:t>N. 692 DE 2025</w:t>
      </w:r>
    </w:p>
    <w:p w:rsidR="004172E2" w:rsidRPr="004172E2" w:rsidRDefault="004172E2" w:rsidP="004172E2">
      <w:pPr>
        <w:jc w:val="center"/>
        <w:rPr>
          <w:rFonts w:cs="Arial"/>
          <w:bCs/>
          <w:sz w:val="22"/>
          <w:szCs w:val="22"/>
          <w:lang w:val="es-CO" w:eastAsia="es-CO"/>
        </w:rPr>
      </w:pPr>
      <w:r w:rsidRPr="004172E2">
        <w:rPr>
          <w:rFonts w:cs="Arial"/>
          <w:bCs/>
          <w:sz w:val="22"/>
          <w:szCs w:val="22"/>
          <w:lang w:val="es-CO" w:eastAsia="es-CO"/>
        </w:rPr>
        <w:t>“Por medio del cual se establecen medidas para el fortalecimiento de</w:t>
      </w:r>
    </w:p>
    <w:p w:rsidR="004172E2" w:rsidRPr="004172E2" w:rsidRDefault="004172E2" w:rsidP="004172E2">
      <w:pPr>
        <w:jc w:val="center"/>
        <w:rPr>
          <w:rFonts w:cs="Arial"/>
          <w:b/>
          <w:bCs/>
          <w:sz w:val="22"/>
          <w:szCs w:val="22"/>
          <w:lang w:val="es-CO" w:eastAsia="es-CO"/>
        </w:rPr>
      </w:pPr>
      <w:r w:rsidRPr="004172E2">
        <w:rPr>
          <w:rFonts w:cs="Arial"/>
          <w:bCs/>
          <w:sz w:val="22"/>
          <w:szCs w:val="22"/>
          <w:lang w:val="es-CO" w:eastAsia="es-CO"/>
        </w:rPr>
        <w:t>los frentes de se</w:t>
      </w:r>
      <w:r w:rsidRPr="004172E2">
        <w:rPr>
          <w:rFonts w:cs="Arial"/>
          <w:bCs/>
          <w:sz w:val="22"/>
          <w:szCs w:val="22"/>
          <w:lang w:val="es-CO" w:eastAsia="es-CO"/>
        </w:rPr>
        <w:t>guridad en la ciudad de Bogotá</w:t>
      </w:r>
      <w:r>
        <w:rPr>
          <w:rFonts w:cs="Arial"/>
          <w:b/>
          <w:bCs/>
          <w:sz w:val="22"/>
          <w:szCs w:val="22"/>
          <w:lang w:val="es-CO" w:eastAsia="es-CO"/>
        </w:rPr>
        <w:t>”</w:t>
      </w:r>
    </w:p>
    <w:p w:rsidR="00ED6D9A" w:rsidRPr="008E0D0D" w:rsidRDefault="00ED6D9A" w:rsidP="00997C09">
      <w:pPr>
        <w:rPr>
          <w:bCs/>
          <w:sz w:val="22"/>
          <w:szCs w:val="22"/>
        </w:rPr>
      </w:pPr>
    </w:p>
    <w:p w:rsidR="00ED6D9A" w:rsidRPr="00B27E73" w:rsidRDefault="00ED6D9A" w:rsidP="00997C09">
      <w:pPr>
        <w:rPr>
          <w:b/>
          <w:bCs/>
          <w:sz w:val="22"/>
          <w:szCs w:val="22"/>
        </w:rPr>
      </w:pPr>
    </w:p>
    <w:p w:rsidR="00ED6D9A" w:rsidRPr="008E0D0D" w:rsidRDefault="00F261D6" w:rsidP="00997C09">
      <w:pPr>
        <w:rPr>
          <w:bCs/>
          <w:sz w:val="22"/>
          <w:szCs w:val="22"/>
        </w:rPr>
      </w:pPr>
      <w:r w:rsidRPr="00B27E73">
        <w:rPr>
          <w:b/>
          <w:bCs/>
          <w:sz w:val="22"/>
          <w:szCs w:val="22"/>
        </w:rPr>
        <w:t>OBJETO DEL PROYECTO DE ACUERDO</w:t>
      </w:r>
      <w:r w:rsidRPr="008E0D0D">
        <w:rPr>
          <w:bCs/>
          <w:sz w:val="22"/>
          <w:szCs w:val="22"/>
        </w:rPr>
        <w:t xml:space="preserve">: </w:t>
      </w:r>
    </w:p>
    <w:p w:rsidR="008E0D0D" w:rsidRPr="008E0D0D" w:rsidRDefault="008E0D0D" w:rsidP="008E0D0D">
      <w:pPr>
        <w:jc w:val="both"/>
        <w:rPr>
          <w:bCs/>
          <w:sz w:val="22"/>
          <w:szCs w:val="22"/>
        </w:rPr>
      </w:pPr>
    </w:p>
    <w:p w:rsidR="004172E2" w:rsidRDefault="008E0D0D" w:rsidP="008E0D0D">
      <w:pPr>
        <w:jc w:val="both"/>
        <w:rPr>
          <w:bCs/>
          <w:sz w:val="22"/>
          <w:szCs w:val="22"/>
        </w:rPr>
      </w:pPr>
      <w:r w:rsidRPr="008E0D0D">
        <w:rPr>
          <w:bCs/>
          <w:sz w:val="22"/>
          <w:szCs w:val="22"/>
        </w:rPr>
        <w:t>De acuerdo con</w:t>
      </w:r>
      <w:r w:rsidR="004172E2">
        <w:rPr>
          <w:bCs/>
          <w:sz w:val="22"/>
          <w:szCs w:val="22"/>
        </w:rPr>
        <w:t xml:space="preserve"> los autores, los dos proyectos de acuerdo tienen por objeto fortalecer las estrategias de organización de los frentes de Seguridad en la ciudad de Bogotá, estableciendo mecanismos que permitan además la creación o implementación de los mismos en puntos críticos de inseguridad. </w:t>
      </w:r>
    </w:p>
    <w:p w:rsidR="004172E2" w:rsidRDefault="004172E2" w:rsidP="008E0D0D">
      <w:pPr>
        <w:jc w:val="both"/>
        <w:rPr>
          <w:bCs/>
          <w:sz w:val="22"/>
          <w:szCs w:val="22"/>
        </w:rPr>
      </w:pPr>
    </w:p>
    <w:p w:rsidR="00B04AD4" w:rsidRDefault="00B04AD4" w:rsidP="008E0D0D">
      <w:pPr>
        <w:jc w:val="both"/>
        <w:rPr>
          <w:bCs/>
          <w:sz w:val="22"/>
          <w:szCs w:val="22"/>
        </w:rPr>
      </w:pPr>
    </w:p>
    <w:p w:rsidR="00B04AD4" w:rsidRPr="00B27E73" w:rsidRDefault="00B04AD4" w:rsidP="008E0D0D">
      <w:pPr>
        <w:jc w:val="both"/>
        <w:rPr>
          <w:b/>
          <w:bCs/>
          <w:sz w:val="22"/>
          <w:szCs w:val="22"/>
        </w:rPr>
      </w:pPr>
      <w:r w:rsidRPr="00B27E73">
        <w:rPr>
          <w:b/>
          <w:bCs/>
          <w:sz w:val="22"/>
          <w:szCs w:val="22"/>
        </w:rPr>
        <w:t>JUSTIFICACIÓN DEL PROYECTO Y ANÁLISIS DE LA INICIATIVA</w:t>
      </w:r>
    </w:p>
    <w:p w:rsidR="008A3700" w:rsidRDefault="008A3700" w:rsidP="008E0D0D">
      <w:pPr>
        <w:jc w:val="both"/>
        <w:rPr>
          <w:bCs/>
          <w:sz w:val="22"/>
          <w:szCs w:val="22"/>
        </w:rPr>
      </w:pPr>
    </w:p>
    <w:p w:rsidR="004172E2" w:rsidRDefault="007D7AEA" w:rsidP="008E0D0D">
      <w:pPr>
        <w:jc w:val="both"/>
        <w:rPr>
          <w:bCs/>
          <w:sz w:val="22"/>
          <w:szCs w:val="22"/>
        </w:rPr>
      </w:pPr>
      <w:r>
        <w:rPr>
          <w:bCs/>
          <w:sz w:val="22"/>
          <w:szCs w:val="22"/>
        </w:rPr>
        <w:t xml:space="preserve">De acuerdo con la información presentada por los autores, Bogotá presenta unos indicadores llamativos en términos de inseguridad, entre los que se registran, por ejemplo, más de 60.000 hurtos entre enero y octubre de 2024 </w:t>
      </w:r>
      <w:r w:rsidRPr="007D7AEA">
        <w:rPr>
          <w:bCs/>
          <w:sz w:val="22"/>
          <w:szCs w:val="22"/>
        </w:rPr>
        <w:t>(SIEDCO, 2025)</w:t>
      </w:r>
      <w:r>
        <w:rPr>
          <w:bCs/>
          <w:sz w:val="22"/>
          <w:szCs w:val="22"/>
        </w:rPr>
        <w:t>, así como también aumentos significativos en términos de delitos como el microtráfico</w:t>
      </w:r>
      <w:r w:rsidR="00845E32">
        <w:rPr>
          <w:bCs/>
          <w:sz w:val="22"/>
          <w:szCs w:val="22"/>
        </w:rPr>
        <w:t xml:space="preserve">, entre otros, que cada vez tienen </w:t>
      </w:r>
      <w:r>
        <w:rPr>
          <w:bCs/>
          <w:sz w:val="22"/>
          <w:szCs w:val="22"/>
        </w:rPr>
        <w:t xml:space="preserve">mayor presencia en sectores vulnerables donde niños, niñas y jóvenes pueden verse afectados. </w:t>
      </w:r>
    </w:p>
    <w:p w:rsidR="007D7AEA" w:rsidRDefault="007D7AEA" w:rsidP="008E0D0D">
      <w:pPr>
        <w:jc w:val="both"/>
        <w:rPr>
          <w:bCs/>
          <w:sz w:val="22"/>
          <w:szCs w:val="22"/>
        </w:rPr>
      </w:pPr>
    </w:p>
    <w:p w:rsidR="007D7AEA" w:rsidRDefault="007D7AEA" w:rsidP="008E0D0D">
      <w:pPr>
        <w:jc w:val="both"/>
        <w:rPr>
          <w:bCs/>
          <w:sz w:val="22"/>
          <w:szCs w:val="22"/>
        </w:rPr>
      </w:pPr>
      <w:r>
        <w:rPr>
          <w:bCs/>
          <w:sz w:val="22"/>
          <w:szCs w:val="22"/>
        </w:rPr>
        <w:t xml:space="preserve">Son varios los datos que presentan para justificar la anterior afirmación como los obtenidos </w:t>
      </w:r>
      <w:r w:rsidR="00845E32">
        <w:rPr>
          <w:bCs/>
          <w:sz w:val="22"/>
          <w:szCs w:val="22"/>
        </w:rPr>
        <w:t>por</w:t>
      </w:r>
      <w:r>
        <w:rPr>
          <w:bCs/>
          <w:sz w:val="22"/>
          <w:szCs w:val="22"/>
        </w:rPr>
        <w:t xml:space="preserve"> la cámara de comercio </w:t>
      </w:r>
      <w:r w:rsidR="00845E32">
        <w:rPr>
          <w:bCs/>
          <w:sz w:val="22"/>
          <w:szCs w:val="22"/>
        </w:rPr>
        <w:t xml:space="preserve">a través de la encuesta de percepción y victimización 2023, el </w:t>
      </w:r>
      <w:r w:rsidR="00845E32" w:rsidRPr="00845E32">
        <w:rPr>
          <w:bCs/>
          <w:sz w:val="22"/>
          <w:szCs w:val="22"/>
        </w:rPr>
        <w:t>Sistema de Información Estadístico, Delincuencial Contravencional y Operativo de la Policía Naciona</w:t>
      </w:r>
      <w:r w:rsidR="00845E32">
        <w:rPr>
          <w:bCs/>
          <w:sz w:val="22"/>
          <w:szCs w:val="22"/>
        </w:rPr>
        <w:t xml:space="preserve">l, la Federación Nacional de Comerciantes-FENALCO, el Observatorio del Delito Público y otros, que sustentan el incremento en las conductas delictivas cometidas en los diferentes sectores de la ciudad y la imperante necesidad de generar estrategias que vinculen a la comunidad como parte de la observación, vigilancia y control para el fenómeno de delincuencia que azota a la capital del país. </w:t>
      </w:r>
    </w:p>
    <w:p w:rsidR="00845E32" w:rsidRDefault="00845E32" w:rsidP="008E0D0D">
      <w:pPr>
        <w:jc w:val="both"/>
        <w:rPr>
          <w:bCs/>
          <w:sz w:val="22"/>
          <w:szCs w:val="22"/>
        </w:rPr>
      </w:pPr>
    </w:p>
    <w:p w:rsidR="00845E32" w:rsidRDefault="00845E32" w:rsidP="008E0D0D">
      <w:pPr>
        <w:jc w:val="both"/>
        <w:rPr>
          <w:bCs/>
          <w:sz w:val="22"/>
          <w:szCs w:val="22"/>
        </w:rPr>
      </w:pPr>
      <w:r>
        <w:rPr>
          <w:bCs/>
          <w:sz w:val="22"/>
          <w:szCs w:val="22"/>
        </w:rPr>
        <w:t xml:space="preserve">Señalan además que los frentes de seguridad son estrategias empleadas en otras ciudades del mundo y que han resultado exitosas respecto de la reducción de los índices de inseguridad. Especialmente, la reconocen como una estrategia de gobernanza local y comunitaria enfocada a la seguridad y la convivencia desde la perspectiva de la prevención y la integración de estrategias sociales. </w:t>
      </w:r>
    </w:p>
    <w:p w:rsidR="00845E32" w:rsidRDefault="00845E32" w:rsidP="008E0D0D">
      <w:pPr>
        <w:jc w:val="both"/>
        <w:rPr>
          <w:bCs/>
          <w:sz w:val="22"/>
          <w:szCs w:val="22"/>
        </w:rPr>
      </w:pPr>
      <w:r>
        <w:rPr>
          <w:bCs/>
          <w:sz w:val="22"/>
          <w:szCs w:val="22"/>
        </w:rPr>
        <w:t>Esta estrategia, que ya se ha empleado en Bogotá ha sido efectiva en los sistemas de organización comunitaria</w:t>
      </w:r>
      <w:r w:rsidR="0065219A">
        <w:rPr>
          <w:bCs/>
          <w:sz w:val="22"/>
          <w:szCs w:val="22"/>
        </w:rPr>
        <w:t xml:space="preserve"> que, en articulación con la Policía Nacional contribuyen con las </w:t>
      </w:r>
      <w:r w:rsidR="0065219A">
        <w:rPr>
          <w:bCs/>
          <w:sz w:val="22"/>
          <w:szCs w:val="22"/>
        </w:rPr>
        <w:lastRenderedPageBreak/>
        <w:t xml:space="preserve">diferentes autoridades locales en el mejoramiento de las condiciones de seguridad y convivencia. </w:t>
      </w:r>
    </w:p>
    <w:p w:rsidR="0065219A" w:rsidRDefault="0065219A" w:rsidP="008E0D0D">
      <w:pPr>
        <w:jc w:val="both"/>
        <w:rPr>
          <w:bCs/>
          <w:sz w:val="22"/>
          <w:szCs w:val="22"/>
        </w:rPr>
      </w:pPr>
    </w:p>
    <w:p w:rsidR="0065219A" w:rsidRDefault="0065219A" w:rsidP="008E0D0D">
      <w:pPr>
        <w:jc w:val="both"/>
        <w:rPr>
          <w:bCs/>
          <w:sz w:val="22"/>
          <w:szCs w:val="22"/>
        </w:rPr>
      </w:pPr>
      <w:r>
        <w:rPr>
          <w:bCs/>
          <w:sz w:val="22"/>
          <w:szCs w:val="22"/>
        </w:rPr>
        <w:t xml:space="preserve">Alguno de los autores refiere la importancia que los frentes de seguridad han tenido en la política de seguridad implementada en Bogotá, indicando que se han convertido en referentes en algunos barrios, siendo reconocidos por la Policía Nacional como una importante estrategia de participación que ya cuenta con más de 1.500 grupos activos distribuidos e las diecinueve localidades urbanas de la ciudad. Esto </w:t>
      </w:r>
      <w:r w:rsidR="009B7105">
        <w:rPr>
          <w:bCs/>
          <w:sz w:val="22"/>
          <w:szCs w:val="22"/>
        </w:rPr>
        <w:t>demuestra</w:t>
      </w:r>
      <w:r>
        <w:rPr>
          <w:bCs/>
          <w:sz w:val="22"/>
          <w:szCs w:val="22"/>
        </w:rPr>
        <w:t xml:space="preserve"> un importante nivel de aceptación ciudadana</w:t>
      </w:r>
      <w:r w:rsidR="009B7105">
        <w:rPr>
          <w:bCs/>
          <w:sz w:val="22"/>
          <w:szCs w:val="22"/>
        </w:rPr>
        <w:t xml:space="preserve"> que además se constituye en una importante red de cooperación que mejora los tiempos de respuesta institucional desde la cultura de la prevención. </w:t>
      </w:r>
    </w:p>
    <w:p w:rsidR="009B7105" w:rsidRDefault="009B7105" w:rsidP="008E0D0D">
      <w:pPr>
        <w:jc w:val="both"/>
        <w:rPr>
          <w:bCs/>
          <w:sz w:val="22"/>
          <w:szCs w:val="22"/>
        </w:rPr>
      </w:pPr>
    </w:p>
    <w:p w:rsidR="009B7105" w:rsidRDefault="009B7105" w:rsidP="008E0D0D">
      <w:pPr>
        <w:jc w:val="both"/>
        <w:rPr>
          <w:bCs/>
          <w:sz w:val="22"/>
          <w:szCs w:val="22"/>
        </w:rPr>
      </w:pPr>
      <w:r>
        <w:rPr>
          <w:bCs/>
          <w:sz w:val="22"/>
          <w:szCs w:val="22"/>
        </w:rPr>
        <w:t xml:space="preserve">Sin embargo, pese a que se han convertido en una importante estrategia de trabajo conjunto entre comunidad y autoridades, al parecer carece de elementos de estructuración que permitan la identificación de objetivos comunes o estrategias de operatividad semejantes, por lo que se requiere de un acompañamiento constante desde la secretaría de seguridad, con el fin de que estos frentes realmente se incorporen a las estrategias de la política pública de seguridad. </w:t>
      </w:r>
    </w:p>
    <w:p w:rsidR="009B7105" w:rsidRDefault="009B7105" w:rsidP="008E0D0D">
      <w:pPr>
        <w:jc w:val="both"/>
        <w:rPr>
          <w:bCs/>
          <w:sz w:val="22"/>
          <w:szCs w:val="22"/>
        </w:rPr>
      </w:pPr>
    </w:p>
    <w:p w:rsidR="009B7105" w:rsidRDefault="009B7105" w:rsidP="008E0D0D">
      <w:pPr>
        <w:jc w:val="both"/>
        <w:rPr>
          <w:bCs/>
          <w:sz w:val="22"/>
          <w:szCs w:val="22"/>
        </w:rPr>
      </w:pPr>
      <w:r>
        <w:rPr>
          <w:bCs/>
          <w:sz w:val="22"/>
          <w:szCs w:val="22"/>
        </w:rPr>
        <w:t xml:space="preserve">Adicionalmente, esta estrategia que ha sido efectiva no es del conocimiento de la ciudadanía en general, por lo que se requiere de un impulso de la administración distrital y de todas las autoridades que participan de la seguridad ciudadana para que se conformen frentes en zonas identificadas como críticas desde el punto de vista de la inseguridad. </w:t>
      </w:r>
    </w:p>
    <w:p w:rsidR="004172E2" w:rsidRDefault="004172E2" w:rsidP="008E0D0D">
      <w:pPr>
        <w:jc w:val="both"/>
        <w:rPr>
          <w:bCs/>
          <w:sz w:val="22"/>
          <w:szCs w:val="22"/>
        </w:rPr>
      </w:pPr>
    </w:p>
    <w:p w:rsidR="00715E4D" w:rsidRDefault="00715E4D" w:rsidP="008E0D0D">
      <w:pPr>
        <w:jc w:val="both"/>
        <w:rPr>
          <w:bCs/>
          <w:sz w:val="22"/>
          <w:szCs w:val="22"/>
        </w:rPr>
      </w:pPr>
      <w:r>
        <w:rPr>
          <w:bCs/>
          <w:sz w:val="22"/>
          <w:szCs w:val="22"/>
        </w:rPr>
        <w:t xml:space="preserve">También resaltan como necesaria la dotación de estas estructuras con elementos como pitos y silbatos, radios y otros elementos de comunicaciones, linternas, alarmas, cámaras de seguridad idealmente conectadas al comando de control de la policía, kits de primeros auxilios y botones de pánico, entre otras, con lo cual se lograría mayor efectividad en la labor adelantada con las comunidades. </w:t>
      </w:r>
    </w:p>
    <w:p w:rsidR="004172E2" w:rsidRDefault="004172E2" w:rsidP="008E0D0D">
      <w:pPr>
        <w:jc w:val="both"/>
        <w:rPr>
          <w:bCs/>
          <w:sz w:val="22"/>
          <w:szCs w:val="22"/>
        </w:rPr>
      </w:pPr>
    </w:p>
    <w:p w:rsidR="00F62F39" w:rsidRPr="00F62F39" w:rsidRDefault="00F62F39" w:rsidP="008E0D0D">
      <w:pPr>
        <w:jc w:val="both"/>
        <w:rPr>
          <w:b/>
          <w:bCs/>
          <w:sz w:val="22"/>
          <w:szCs w:val="22"/>
        </w:rPr>
      </w:pPr>
      <w:r w:rsidRPr="00F62F39">
        <w:rPr>
          <w:b/>
          <w:bCs/>
          <w:sz w:val="22"/>
          <w:szCs w:val="22"/>
        </w:rPr>
        <w:t>SUSTENTO JURÍDICO DE LA INICIATIVA</w:t>
      </w:r>
    </w:p>
    <w:p w:rsidR="00F62F39" w:rsidRDefault="00F62F39" w:rsidP="008E0D0D">
      <w:pPr>
        <w:jc w:val="both"/>
        <w:rPr>
          <w:bCs/>
          <w:sz w:val="22"/>
          <w:szCs w:val="22"/>
        </w:rPr>
      </w:pPr>
    </w:p>
    <w:p w:rsidR="00F62F39" w:rsidRDefault="00F62F39" w:rsidP="00F62F39">
      <w:pPr>
        <w:pStyle w:val="Prrafodelista"/>
        <w:numPr>
          <w:ilvl w:val="0"/>
          <w:numId w:val="6"/>
        </w:numPr>
        <w:jc w:val="both"/>
        <w:rPr>
          <w:b/>
          <w:bCs/>
          <w:sz w:val="22"/>
          <w:szCs w:val="22"/>
        </w:rPr>
      </w:pPr>
      <w:r w:rsidRPr="00F62F39">
        <w:rPr>
          <w:b/>
          <w:bCs/>
          <w:sz w:val="22"/>
          <w:szCs w:val="22"/>
        </w:rPr>
        <w:t>DE ORDEN INTERNACIONAL</w:t>
      </w:r>
    </w:p>
    <w:p w:rsidR="00F62F39" w:rsidRDefault="00F62F39" w:rsidP="00F62F39">
      <w:pPr>
        <w:jc w:val="both"/>
        <w:rPr>
          <w:b/>
          <w:bCs/>
          <w:sz w:val="22"/>
          <w:szCs w:val="22"/>
        </w:rPr>
      </w:pPr>
    </w:p>
    <w:p w:rsidR="00715E4D" w:rsidRDefault="00F62F39" w:rsidP="00715E4D">
      <w:pPr>
        <w:jc w:val="both"/>
        <w:rPr>
          <w:bCs/>
          <w:sz w:val="22"/>
          <w:szCs w:val="22"/>
        </w:rPr>
      </w:pPr>
      <w:r>
        <w:rPr>
          <w:b/>
          <w:bCs/>
          <w:sz w:val="22"/>
          <w:szCs w:val="22"/>
        </w:rPr>
        <w:t>Declaración Uni</w:t>
      </w:r>
      <w:r w:rsidR="00715E4D">
        <w:rPr>
          <w:b/>
          <w:bCs/>
          <w:sz w:val="22"/>
          <w:szCs w:val="22"/>
        </w:rPr>
        <w:t xml:space="preserve">versal de los Derechos Humanos </w:t>
      </w:r>
      <w:r w:rsidR="00715E4D" w:rsidRPr="00715E4D">
        <w:rPr>
          <w:b/>
          <w:bCs/>
          <w:sz w:val="22"/>
          <w:szCs w:val="22"/>
        </w:rPr>
        <w:t>y la Declaración Americana de los Derechos y Deberes del Hombre</w:t>
      </w:r>
    </w:p>
    <w:p w:rsidR="00715E4D" w:rsidRDefault="00715E4D" w:rsidP="00715E4D">
      <w:pPr>
        <w:jc w:val="both"/>
        <w:rPr>
          <w:bCs/>
          <w:sz w:val="22"/>
          <w:szCs w:val="22"/>
        </w:rPr>
      </w:pPr>
    </w:p>
    <w:p w:rsidR="00715E4D" w:rsidRPr="00715E4D" w:rsidRDefault="00715E4D" w:rsidP="00715E4D">
      <w:pPr>
        <w:jc w:val="both"/>
        <w:rPr>
          <w:bCs/>
          <w:sz w:val="22"/>
          <w:szCs w:val="22"/>
        </w:rPr>
      </w:pPr>
      <w:r w:rsidRPr="00715E4D">
        <w:rPr>
          <w:bCs/>
          <w:sz w:val="22"/>
          <w:szCs w:val="22"/>
        </w:rPr>
        <w:t>“Todos los hombres nacen libres e iguales en dignidad y derechos y, dotados como están por naturaleza de razón y conciencia, deben conducirse fraternalmente los unos con los otros (…) Todo individuo tiene Derecho a la vida, a la libertad y la seguridad de su persona”.</w:t>
      </w:r>
    </w:p>
    <w:p w:rsidR="00715E4D" w:rsidRDefault="00715E4D" w:rsidP="00715E4D">
      <w:pPr>
        <w:jc w:val="both"/>
        <w:rPr>
          <w:b/>
          <w:bCs/>
          <w:sz w:val="22"/>
          <w:szCs w:val="22"/>
        </w:rPr>
      </w:pPr>
    </w:p>
    <w:p w:rsidR="00715E4D" w:rsidRDefault="00715E4D" w:rsidP="00715E4D">
      <w:pPr>
        <w:jc w:val="both"/>
        <w:rPr>
          <w:b/>
          <w:bCs/>
          <w:sz w:val="22"/>
          <w:szCs w:val="22"/>
        </w:rPr>
      </w:pPr>
      <w:r w:rsidRPr="00715E4D">
        <w:rPr>
          <w:b/>
          <w:bCs/>
          <w:sz w:val="22"/>
          <w:szCs w:val="22"/>
        </w:rPr>
        <w:t>Convención Americana de Derecho</w:t>
      </w:r>
      <w:r>
        <w:rPr>
          <w:b/>
          <w:bCs/>
          <w:sz w:val="22"/>
          <w:szCs w:val="22"/>
        </w:rPr>
        <w:t xml:space="preserve">s Humanos - Pacto de San José </w:t>
      </w:r>
    </w:p>
    <w:p w:rsidR="00715E4D" w:rsidRDefault="00715E4D" w:rsidP="00715E4D">
      <w:pPr>
        <w:jc w:val="both"/>
        <w:rPr>
          <w:bCs/>
          <w:sz w:val="22"/>
          <w:szCs w:val="22"/>
        </w:rPr>
      </w:pPr>
      <w:r>
        <w:rPr>
          <w:bCs/>
          <w:sz w:val="22"/>
          <w:szCs w:val="22"/>
        </w:rPr>
        <w:t>L</w:t>
      </w:r>
      <w:r w:rsidRPr="00715E4D">
        <w:rPr>
          <w:bCs/>
          <w:sz w:val="22"/>
          <w:szCs w:val="22"/>
        </w:rPr>
        <w:t xml:space="preserve">os </w:t>
      </w:r>
      <w:r>
        <w:rPr>
          <w:bCs/>
          <w:sz w:val="22"/>
          <w:szCs w:val="22"/>
        </w:rPr>
        <w:t xml:space="preserve">Estados </w:t>
      </w:r>
      <w:r w:rsidRPr="00715E4D">
        <w:rPr>
          <w:bCs/>
          <w:sz w:val="22"/>
          <w:szCs w:val="22"/>
        </w:rPr>
        <w:t>partes “se comprometen a respetar los derechos y libertades reconocidos en ella y a garantizar su libre y pleno ejercicio a toda persona que éste sujeta a su jurisdicción, sin discriminación alguna por motivos de raza, color, sexo, idioma, religión, opiniones políticas o de cualquier otra índole, origen nacional o social, posición económica, nacimiento o cualquier otra condición social.”</w:t>
      </w:r>
    </w:p>
    <w:p w:rsidR="00715E4D" w:rsidRPr="00715E4D" w:rsidRDefault="00715E4D" w:rsidP="00715E4D">
      <w:pPr>
        <w:jc w:val="both"/>
        <w:rPr>
          <w:b/>
          <w:bCs/>
          <w:sz w:val="22"/>
          <w:szCs w:val="22"/>
        </w:rPr>
      </w:pPr>
    </w:p>
    <w:p w:rsidR="00715E4D" w:rsidRDefault="00715E4D" w:rsidP="00715E4D">
      <w:pPr>
        <w:jc w:val="both"/>
        <w:rPr>
          <w:bCs/>
          <w:sz w:val="22"/>
          <w:szCs w:val="22"/>
        </w:rPr>
      </w:pPr>
      <w:r w:rsidRPr="00715E4D">
        <w:rPr>
          <w:b/>
          <w:bCs/>
          <w:sz w:val="22"/>
          <w:szCs w:val="22"/>
        </w:rPr>
        <w:lastRenderedPageBreak/>
        <w:t>Convención Interamericana para Prevenir, Sancionar y Erradicar la Violencia contra la Mujer “Convención de Belem do Para”</w:t>
      </w:r>
      <w:r w:rsidRPr="00715E4D">
        <w:rPr>
          <w:bCs/>
          <w:sz w:val="22"/>
          <w:szCs w:val="22"/>
        </w:rPr>
        <w:t xml:space="preserve"> </w:t>
      </w:r>
    </w:p>
    <w:p w:rsidR="00715E4D" w:rsidRDefault="00715E4D" w:rsidP="00715E4D">
      <w:pPr>
        <w:jc w:val="both"/>
        <w:rPr>
          <w:bCs/>
          <w:sz w:val="22"/>
          <w:szCs w:val="22"/>
        </w:rPr>
      </w:pPr>
    </w:p>
    <w:p w:rsidR="00F62F39" w:rsidRPr="00715E4D" w:rsidRDefault="00715E4D" w:rsidP="00715E4D">
      <w:pPr>
        <w:jc w:val="both"/>
        <w:rPr>
          <w:bCs/>
          <w:sz w:val="22"/>
          <w:szCs w:val="22"/>
        </w:rPr>
      </w:pPr>
      <w:r w:rsidRPr="00715E4D">
        <w:rPr>
          <w:bCs/>
          <w:sz w:val="22"/>
          <w:szCs w:val="22"/>
        </w:rPr>
        <w:t>“toda mujer tiene derecho a una vida libre de violencia, tanto en el ámbito público como en el privado (…) toda mujer podrá ejercer libre y plenamente sus derechos civiles, políticos, económicos, sociales, culturales, y contará con total protección de esos derechos consagrados en los instrumentos regionales e internacionales sobre derechos humanos. Los estados partes reconocen que la violencia contra la mujer impide y anula el ejercicio contra sus derechos”</w:t>
      </w:r>
      <w:r w:rsidR="00F62F39" w:rsidRPr="00715E4D">
        <w:rPr>
          <w:bCs/>
          <w:sz w:val="22"/>
          <w:szCs w:val="22"/>
        </w:rPr>
        <w:t>.</w:t>
      </w:r>
    </w:p>
    <w:p w:rsidR="00F62F39" w:rsidRDefault="00F62F39" w:rsidP="00F62F39">
      <w:pPr>
        <w:jc w:val="both"/>
        <w:rPr>
          <w:bCs/>
          <w:sz w:val="22"/>
          <w:szCs w:val="22"/>
        </w:rPr>
      </w:pPr>
    </w:p>
    <w:p w:rsidR="00F62F39" w:rsidRPr="00964ADD" w:rsidRDefault="00F62F39" w:rsidP="00F62F39">
      <w:pPr>
        <w:pStyle w:val="Prrafodelista"/>
        <w:numPr>
          <w:ilvl w:val="0"/>
          <w:numId w:val="6"/>
        </w:numPr>
        <w:jc w:val="both"/>
        <w:rPr>
          <w:b/>
          <w:bCs/>
          <w:sz w:val="22"/>
          <w:szCs w:val="22"/>
        </w:rPr>
      </w:pPr>
      <w:r w:rsidRPr="00964ADD">
        <w:rPr>
          <w:b/>
          <w:bCs/>
          <w:sz w:val="22"/>
          <w:szCs w:val="22"/>
        </w:rPr>
        <w:t>DE ORDEN CONSTITUCIONAL</w:t>
      </w:r>
    </w:p>
    <w:p w:rsidR="00ED6D9A" w:rsidRDefault="00ED6D9A" w:rsidP="00997C09">
      <w:pPr>
        <w:rPr>
          <w:bCs/>
          <w:sz w:val="20"/>
        </w:rPr>
      </w:pPr>
    </w:p>
    <w:p w:rsidR="00715E4D" w:rsidRDefault="00715E4D" w:rsidP="00715E4D">
      <w:pPr>
        <w:jc w:val="both"/>
        <w:rPr>
          <w:bCs/>
          <w:sz w:val="22"/>
        </w:rPr>
      </w:pPr>
      <w:r>
        <w:rPr>
          <w:b/>
          <w:bCs/>
          <w:sz w:val="22"/>
        </w:rPr>
        <w:t xml:space="preserve">Artículo 2: </w:t>
      </w:r>
      <w:r w:rsidRPr="00715E4D">
        <w:rPr>
          <w:bCs/>
          <w:sz w:val="22"/>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rsidR="00715E4D" w:rsidRDefault="00715E4D" w:rsidP="00715E4D">
      <w:pPr>
        <w:rPr>
          <w:b/>
          <w:bCs/>
          <w:sz w:val="22"/>
        </w:rPr>
      </w:pPr>
    </w:p>
    <w:p w:rsidR="00715E4D" w:rsidRDefault="00715E4D" w:rsidP="00715E4D">
      <w:pPr>
        <w:jc w:val="both"/>
        <w:rPr>
          <w:bCs/>
          <w:sz w:val="22"/>
        </w:rPr>
      </w:pPr>
      <w:r>
        <w:rPr>
          <w:b/>
          <w:bCs/>
          <w:sz w:val="22"/>
        </w:rPr>
        <w:t>Artículo 13</w:t>
      </w:r>
      <w:r w:rsidRPr="00715E4D">
        <w:rPr>
          <w:bCs/>
          <w:sz w:val="22"/>
        </w:rPr>
        <w:t>: Las personas nacen libres e iguales ante la ley, recibirán la misma protección y trato de las autoridades y gozarán de la misma protección y trato de las autoridades y gozarán de los mismos derechos, libertades y oportunidades sin ninguna discriminación por razones de sexo, raza, origen nacional o familiar, lengua, religión, opinión política o filosófica</w:t>
      </w:r>
      <w:r>
        <w:rPr>
          <w:bCs/>
          <w:sz w:val="22"/>
        </w:rPr>
        <w:t>.</w:t>
      </w:r>
    </w:p>
    <w:p w:rsidR="00715E4D" w:rsidRPr="00715E4D" w:rsidRDefault="00715E4D" w:rsidP="00715E4D">
      <w:pPr>
        <w:rPr>
          <w:b/>
          <w:bCs/>
          <w:sz w:val="22"/>
        </w:rPr>
      </w:pPr>
    </w:p>
    <w:p w:rsidR="00715E4D" w:rsidRPr="00715E4D" w:rsidRDefault="00715E4D" w:rsidP="00715E4D">
      <w:pPr>
        <w:jc w:val="both"/>
        <w:rPr>
          <w:bCs/>
          <w:sz w:val="22"/>
        </w:rPr>
      </w:pPr>
      <w:r>
        <w:rPr>
          <w:b/>
          <w:bCs/>
          <w:sz w:val="22"/>
        </w:rPr>
        <w:t xml:space="preserve">Artículo 95: </w:t>
      </w:r>
      <w:r w:rsidRPr="00715E4D">
        <w:rPr>
          <w:bCs/>
          <w:sz w:val="22"/>
        </w:rPr>
        <w:t>Constitución Política de Colombia: respetar los derechos ajenos y no abusar de los propios; obrar conforme al principio de solidaridad social; respetar y apoyar a las autoridades democráticas legítimamente constituidas; defender y difundir los derechos humanos como fundamento de la convivencia pacífica; entre otros.</w:t>
      </w:r>
    </w:p>
    <w:p w:rsidR="00715E4D" w:rsidRDefault="00715E4D" w:rsidP="00715E4D">
      <w:pPr>
        <w:jc w:val="both"/>
        <w:rPr>
          <w:b/>
          <w:bCs/>
          <w:sz w:val="22"/>
        </w:rPr>
      </w:pPr>
    </w:p>
    <w:p w:rsidR="00964ADD" w:rsidRDefault="00964ADD" w:rsidP="00715E4D">
      <w:pPr>
        <w:jc w:val="both"/>
        <w:rPr>
          <w:bCs/>
          <w:sz w:val="22"/>
        </w:rPr>
      </w:pPr>
      <w:r w:rsidRPr="00964ADD">
        <w:rPr>
          <w:b/>
          <w:bCs/>
          <w:sz w:val="22"/>
        </w:rPr>
        <w:t xml:space="preserve">Artículo </w:t>
      </w:r>
      <w:r w:rsidR="00F62F39" w:rsidRPr="00964ADD">
        <w:rPr>
          <w:b/>
          <w:bCs/>
          <w:sz w:val="22"/>
        </w:rPr>
        <w:t>209</w:t>
      </w:r>
      <w:r w:rsidR="00F62F39" w:rsidRPr="00F62F39">
        <w:rPr>
          <w:bCs/>
          <w:sz w:val="22"/>
        </w:rPr>
        <w:t xml:space="preserve">: </w:t>
      </w:r>
      <w:r w:rsidRPr="00964ADD">
        <w:rPr>
          <w:bCs/>
          <w:sz w:val="22"/>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p>
    <w:p w:rsidR="00964ADD" w:rsidRPr="00964ADD" w:rsidRDefault="00964ADD" w:rsidP="00997C09">
      <w:pPr>
        <w:rPr>
          <w:b/>
          <w:bCs/>
        </w:rPr>
      </w:pPr>
    </w:p>
    <w:p w:rsidR="00964ADD" w:rsidRPr="00964ADD" w:rsidRDefault="00964ADD" w:rsidP="00964ADD">
      <w:pPr>
        <w:pStyle w:val="Prrafodelista"/>
        <w:numPr>
          <w:ilvl w:val="0"/>
          <w:numId w:val="6"/>
        </w:numPr>
        <w:rPr>
          <w:b/>
          <w:bCs/>
          <w:sz w:val="22"/>
        </w:rPr>
      </w:pPr>
      <w:r w:rsidRPr="00964ADD">
        <w:rPr>
          <w:b/>
          <w:bCs/>
          <w:sz w:val="22"/>
        </w:rPr>
        <w:t xml:space="preserve">DE ORDEN LEGAL </w:t>
      </w:r>
    </w:p>
    <w:p w:rsidR="00964ADD" w:rsidRPr="00964ADD" w:rsidRDefault="00964ADD" w:rsidP="00964ADD">
      <w:pPr>
        <w:rPr>
          <w:b/>
          <w:bCs/>
          <w:sz w:val="22"/>
        </w:rPr>
      </w:pPr>
    </w:p>
    <w:p w:rsidR="002F0FB0" w:rsidRDefault="002F0FB0" w:rsidP="002F0FB0">
      <w:pPr>
        <w:rPr>
          <w:b/>
          <w:bCs/>
          <w:sz w:val="22"/>
        </w:rPr>
      </w:pPr>
      <w:r w:rsidRPr="002F0FB0">
        <w:rPr>
          <w:b/>
          <w:bCs/>
          <w:sz w:val="22"/>
        </w:rPr>
        <w:t>Ley 1801 de 2016 (Código Nacional de Policía y Convivencia).</w:t>
      </w:r>
    </w:p>
    <w:p w:rsidR="007C3FB2" w:rsidRDefault="007C3FB2" w:rsidP="002F0FB0">
      <w:pPr>
        <w:rPr>
          <w:b/>
          <w:bCs/>
          <w:sz w:val="22"/>
        </w:rPr>
      </w:pPr>
    </w:p>
    <w:p w:rsidR="007C3FB2" w:rsidRPr="007C3FB2" w:rsidRDefault="007C3FB2" w:rsidP="007C3FB2">
      <w:pPr>
        <w:rPr>
          <w:bCs/>
          <w:sz w:val="22"/>
        </w:rPr>
      </w:pPr>
      <w:r w:rsidRPr="007C3FB2">
        <w:rPr>
          <w:b/>
          <w:bCs/>
          <w:sz w:val="22"/>
        </w:rPr>
        <w:t xml:space="preserve">ARTÍCULO 2. Objetivos específicos. </w:t>
      </w:r>
      <w:r w:rsidRPr="007C3FB2">
        <w:rPr>
          <w:bCs/>
          <w:sz w:val="22"/>
        </w:rPr>
        <w:t>Con el fin de mantener las condiciones necesarias para la convivencia en el territorio nacional, los objetivos específicos de este Código son los siguientes:</w:t>
      </w:r>
    </w:p>
    <w:p w:rsidR="007C3FB2" w:rsidRPr="007C3FB2" w:rsidRDefault="007C3FB2" w:rsidP="007C3FB2">
      <w:pPr>
        <w:rPr>
          <w:bCs/>
          <w:sz w:val="22"/>
        </w:rPr>
      </w:pPr>
    </w:p>
    <w:p w:rsidR="007C3FB2" w:rsidRPr="007C3FB2" w:rsidRDefault="007C3FB2" w:rsidP="007C3FB2">
      <w:pPr>
        <w:rPr>
          <w:bCs/>
          <w:sz w:val="22"/>
        </w:rPr>
      </w:pPr>
      <w:r w:rsidRPr="007C3FB2">
        <w:rPr>
          <w:bCs/>
          <w:sz w:val="22"/>
        </w:rPr>
        <w:lastRenderedPageBreak/>
        <w:t>1. Propiciar en la comunidad comportamientos que favorezcan la convivencia en el espacio público, áreas comunes, lugares abiertos al público o que siendo privados trasciendan a lo público.</w:t>
      </w:r>
    </w:p>
    <w:p w:rsidR="007C3FB2" w:rsidRPr="007C3FB2" w:rsidRDefault="007C3FB2" w:rsidP="007C3FB2">
      <w:pPr>
        <w:rPr>
          <w:bCs/>
          <w:sz w:val="22"/>
        </w:rPr>
      </w:pPr>
    </w:p>
    <w:p w:rsidR="007C3FB2" w:rsidRPr="007C3FB2" w:rsidRDefault="007C3FB2" w:rsidP="007C3FB2">
      <w:pPr>
        <w:rPr>
          <w:bCs/>
          <w:sz w:val="22"/>
        </w:rPr>
      </w:pPr>
      <w:r w:rsidRPr="007C3FB2">
        <w:rPr>
          <w:bCs/>
          <w:sz w:val="22"/>
        </w:rPr>
        <w:t>2. Promover el respeto, el ejercicio responsable de la libertad, la dignidad, los deberes y los derechos correlativos de la personalidad humana.</w:t>
      </w:r>
    </w:p>
    <w:p w:rsidR="007C3FB2" w:rsidRPr="007C3FB2" w:rsidRDefault="007C3FB2" w:rsidP="007C3FB2">
      <w:pPr>
        <w:rPr>
          <w:bCs/>
          <w:sz w:val="22"/>
        </w:rPr>
      </w:pPr>
    </w:p>
    <w:p w:rsidR="007C3FB2" w:rsidRPr="007C3FB2" w:rsidRDefault="007C3FB2" w:rsidP="007C3FB2">
      <w:pPr>
        <w:rPr>
          <w:bCs/>
          <w:sz w:val="22"/>
        </w:rPr>
      </w:pPr>
      <w:r w:rsidRPr="007C3FB2">
        <w:rPr>
          <w:bCs/>
          <w:sz w:val="22"/>
        </w:rPr>
        <w:t>3. Promover el uso de mecanismos alternativos, o comunitarios, para la conciliación y solución pacífica de desacuerdos entre particulares.</w:t>
      </w:r>
    </w:p>
    <w:p w:rsidR="007C3FB2" w:rsidRPr="007C3FB2" w:rsidRDefault="007C3FB2" w:rsidP="007C3FB2">
      <w:pPr>
        <w:rPr>
          <w:bCs/>
          <w:sz w:val="22"/>
        </w:rPr>
      </w:pPr>
    </w:p>
    <w:p w:rsidR="007C3FB2" w:rsidRPr="007C3FB2" w:rsidRDefault="007C3FB2" w:rsidP="007C3FB2">
      <w:pPr>
        <w:rPr>
          <w:bCs/>
          <w:sz w:val="22"/>
        </w:rPr>
      </w:pPr>
      <w:r w:rsidRPr="007C3FB2">
        <w:rPr>
          <w:bCs/>
          <w:sz w:val="22"/>
        </w:rPr>
        <w:t>4. Definir comportamientos, medidas, medios y procedimientos de Policía.</w:t>
      </w:r>
    </w:p>
    <w:p w:rsidR="007C3FB2" w:rsidRPr="007C3FB2" w:rsidRDefault="007C3FB2" w:rsidP="007C3FB2">
      <w:pPr>
        <w:rPr>
          <w:bCs/>
          <w:sz w:val="22"/>
        </w:rPr>
      </w:pPr>
    </w:p>
    <w:p w:rsidR="007C3FB2" w:rsidRPr="007C3FB2" w:rsidRDefault="007C3FB2" w:rsidP="007C3FB2">
      <w:pPr>
        <w:rPr>
          <w:bCs/>
          <w:sz w:val="22"/>
        </w:rPr>
      </w:pPr>
      <w:r w:rsidRPr="007C3FB2">
        <w:rPr>
          <w:bCs/>
          <w:sz w:val="22"/>
        </w:rPr>
        <w:t>5. Establecer la competencia de las autoridades de Policía en el orden nacional, departamental, distrital y municipal, con observancia del principio de autonomía territorial.</w:t>
      </w:r>
    </w:p>
    <w:p w:rsidR="007C3FB2" w:rsidRPr="007C3FB2" w:rsidRDefault="007C3FB2" w:rsidP="007C3FB2">
      <w:pPr>
        <w:rPr>
          <w:bCs/>
          <w:sz w:val="22"/>
        </w:rPr>
      </w:pPr>
    </w:p>
    <w:p w:rsidR="007C3FB2" w:rsidRPr="007C3FB2" w:rsidRDefault="007C3FB2" w:rsidP="007C3FB2">
      <w:pPr>
        <w:rPr>
          <w:bCs/>
          <w:sz w:val="22"/>
        </w:rPr>
      </w:pPr>
      <w:r w:rsidRPr="007C3FB2">
        <w:rPr>
          <w:bCs/>
          <w:sz w:val="22"/>
        </w:rPr>
        <w:t>6. Establecer un procedimiento respetuoso del debido proceso, idóneo, inmediato, expedito y eficaz para la atención oportuna de los comportamientos relacionados con la convivencia en el territorio nacional.</w:t>
      </w:r>
    </w:p>
    <w:p w:rsidR="009411A9" w:rsidRDefault="009411A9" w:rsidP="009411A9">
      <w:pPr>
        <w:jc w:val="both"/>
        <w:rPr>
          <w:b/>
          <w:bCs/>
          <w:sz w:val="22"/>
        </w:rPr>
      </w:pPr>
    </w:p>
    <w:p w:rsidR="009411A9" w:rsidRDefault="009411A9" w:rsidP="009411A9">
      <w:pPr>
        <w:jc w:val="both"/>
        <w:rPr>
          <w:b/>
          <w:bCs/>
          <w:sz w:val="22"/>
        </w:rPr>
      </w:pPr>
      <w:r>
        <w:rPr>
          <w:b/>
          <w:bCs/>
          <w:sz w:val="22"/>
        </w:rPr>
        <w:t xml:space="preserve">Ley 62 de 1993 </w:t>
      </w:r>
      <w:r w:rsidRPr="009411A9">
        <w:rPr>
          <w:b/>
          <w:bCs/>
          <w:sz w:val="22"/>
        </w:rPr>
        <w:t>"Por la cual se expiden normas sobre la Policía Nacional, se crea un establecimiento público de seguridad social y bienestar para la Policía Nacional, se crea la Superintendencia de Vigilancia y Seguridad Privada y se reviste de facultades extraordinarias al Presidente de la República".</w:t>
      </w:r>
    </w:p>
    <w:p w:rsidR="009411A9" w:rsidRDefault="009411A9" w:rsidP="009411A9">
      <w:pPr>
        <w:jc w:val="both"/>
        <w:rPr>
          <w:b/>
          <w:bCs/>
          <w:sz w:val="22"/>
        </w:rPr>
      </w:pPr>
    </w:p>
    <w:p w:rsidR="009411A9" w:rsidRDefault="009411A9" w:rsidP="009411A9">
      <w:pPr>
        <w:jc w:val="both"/>
        <w:rPr>
          <w:b/>
          <w:bCs/>
          <w:sz w:val="22"/>
        </w:rPr>
      </w:pPr>
      <w:r w:rsidRPr="009411A9">
        <w:rPr>
          <w:b/>
          <w:bCs/>
          <w:sz w:val="22"/>
        </w:rPr>
        <w:t xml:space="preserve">Artículo 4°. </w:t>
      </w:r>
      <w:r w:rsidRPr="009411A9">
        <w:rPr>
          <w:bCs/>
          <w:sz w:val="22"/>
        </w:rPr>
        <w:t>Inmediatez. Toda persona tiene derecho a recibir inmediata protección contra cualquier manifestación delictiva u contravencional y el deber de cooperar con las autoridades.</w:t>
      </w:r>
    </w:p>
    <w:p w:rsidR="009411A9" w:rsidRDefault="009411A9" w:rsidP="009411A9">
      <w:pPr>
        <w:jc w:val="both"/>
        <w:rPr>
          <w:b/>
          <w:bCs/>
          <w:sz w:val="22"/>
        </w:rPr>
      </w:pPr>
      <w:r>
        <w:rPr>
          <w:b/>
          <w:bCs/>
          <w:sz w:val="22"/>
        </w:rPr>
        <w:t>(…)</w:t>
      </w:r>
    </w:p>
    <w:p w:rsidR="009411A9" w:rsidRPr="009411A9" w:rsidRDefault="009411A9" w:rsidP="009411A9">
      <w:pPr>
        <w:jc w:val="both"/>
        <w:rPr>
          <w:bCs/>
          <w:sz w:val="22"/>
        </w:rPr>
      </w:pPr>
      <w:r w:rsidRPr="009411A9">
        <w:rPr>
          <w:b/>
          <w:bCs/>
          <w:sz w:val="22"/>
        </w:rPr>
        <w:t xml:space="preserve">Artículo 19. </w:t>
      </w:r>
      <w:r w:rsidRPr="009411A9">
        <w:rPr>
          <w:bCs/>
          <w:sz w:val="22"/>
        </w:rPr>
        <w:t>Funciones Generales. La Policía Nacional está instituida para proteger a todas las personas residentes en Colombia, garantizar el ejercicio de las libertades públicas y los derechos que de éstas se deriven, prestar el auxilio que requiere la ejecución de las leyes y las providencias judiciales y administrativas y ejercer, de manera permanente, las funciones de: Policía Judicial, respecto de los delitos y contravenciones: educativa, a través de orientación a la comunidad en el respecto a la ley; preventiva, de la comisión de hechos punibles; de solidaridad entre la Policía y la comunidad; de atención al menor, de vigilancia urbana, rural y cívica; de coordinación penitenciaria; y, de vigilancia y protección de los recursos naturales relacionados con la calidad del medio ambiente, la ecología y el ornato público, en los ámbitos urbano y rural</w:t>
      </w:r>
    </w:p>
    <w:p w:rsidR="00BE15E0" w:rsidRDefault="00BE15E0" w:rsidP="009411A9">
      <w:pPr>
        <w:jc w:val="both"/>
        <w:rPr>
          <w:bCs/>
          <w:sz w:val="22"/>
        </w:rPr>
      </w:pPr>
    </w:p>
    <w:p w:rsidR="009411A9" w:rsidRDefault="009411A9" w:rsidP="009411A9">
      <w:pPr>
        <w:jc w:val="both"/>
        <w:rPr>
          <w:rStyle w:val="Textoennegrita"/>
          <w:rFonts w:cs="Arial"/>
          <w:color w:val="333333"/>
          <w:sz w:val="22"/>
          <w:szCs w:val="22"/>
          <w:shd w:val="clear" w:color="auto" w:fill="FFFFFF"/>
        </w:rPr>
      </w:pPr>
      <w:r>
        <w:rPr>
          <w:rStyle w:val="Textoennegrita"/>
          <w:rFonts w:cs="Arial"/>
          <w:color w:val="333333"/>
          <w:sz w:val="22"/>
          <w:szCs w:val="22"/>
          <w:shd w:val="clear" w:color="auto" w:fill="FFFFFF"/>
        </w:rPr>
        <w:t>Ley 2197 de</w:t>
      </w:r>
      <w:r w:rsidRPr="009411A9">
        <w:rPr>
          <w:rStyle w:val="Textoennegrita"/>
          <w:rFonts w:cs="Arial"/>
          <w:color w:val="333333"/>
          <w:sz w:val="22"/>
          <w:szCs w:val="22"/>
          <w:shd w:val="clear" w:color="auto" w:fill="FFFFFF"/>
        </w:rPr>
        <w:t xml:space="preserve"> 2022</w:t>
      </w:r>
      <w:r w:rsidRPr="009411A9">
        <w:rPr>
          <w:sz w:val="22"/>
          <w:szCs w:val="22"/>
        </w:rPr>
        <w:t xml:space="preserve"> </w:t>
      </w:r>
      <w:r>
        <w:rPr>
          <w:sz w:val="22"/>
          <w:szCs w:val="22"/>
        </w:rPr>
        <w:t>“</w:t>
      </w:r>
      <w:r w:rsidRPr="009411A9">
        <w:rPr>
          <w:rStyle w:val="Textoennegrita"/>
          <w:rFonts w:cs="Arial"/>
          <w:color w:val="333333"/>
          <w:sz w:val="22"/>
          <w:szCs w:val="22"/>
          <w:shd w:val="clear" w:color="auto" w:fill="FFFFFF"/>
        </w:rPr>
        <w:t>por medio de la cual se dictan normas tendientes al fortalecimiento de la seguridad ciudadana y se dictan otras disposiciones</w:t>
      </w:r>
      <w:r>
        <w:rPr>
          <w:rStyle w:val="Textoennegrita"/>
          <w:rFonts w:cs="Arial"/>
          <w:color w:val="333333"/>
          <w:sz w:val="22"/>
          <w:szCs w:val="22"/>
          <w:shd w:val="clear" w:color="auto" w:fill="FFFFFF"/>
        </w:rPr>
        <w:t>”</w:t>
      </w:r>
    </w:p>
    <w:p w:rsidR="009411A9" w:rsidRDefault="009411A9" w:rsidP="009411A9">
      <w:pPr>
        <w:jc w:val="both"/>
        <w:rPr>
          <w:rStyle w:val="Textoennegrita"/>
          <w:rFonts w:cs="Arial"/>
          <w:color w:val="333333"/>
          <w:sz w:val="22"/>
          <w:szCs w:val="22"/>
          <w:shd w:val="clear" w:color="auto" w:fill="FFFFFF"/>
        </w:rPr>
      </w:pPr>
    </w:p>
    <w:p w:rsidR="009411A9" w:rsidRDefault="00553B74" w:rsidP="009411A9">
      <w:pPr>
        <w:jc w:val="both"/>
        <w:rPr>
          <w:bCs/>
          <w:sz w:val="22"/>
          <w:szCs w:val="22"/>
        </w:rPr>
      </w:pPr>
      <w:r w:rsidRPr="00553B74">
        <w:rPr>
          <w:b/>
          <w:bCs/>
          <w:sz w:val="22"/>
          <w:szCs w:val="22"/>
        </w:rPr>
        <w:t>Artículo 237B.</w:t>
      </w:r>
      <w:r w:rsidRPr="00553B74">
        <w:rPr>
          <w:bCs/>
          <w:sz w:val="22"/>
          <w:szCs w:val="22"/>
        </w:rPr>
        <w:t xml:space="preserve"> Acceso a circuitos de vigilancia y seguridad privada. La policía nacional podrá acceder a los circuitos cerrados de vigilancia y seguridad privada, para acciones de prevención, identificación o judicialización.</w:t>
      </w:r>
    </w:p>
    <w:p w:rsidR="00EE6AB2" w:rsidRPr="009411A9" w:rsidRDefault="00EE6AB2" w:rsidP="009411A9">
      <w:pPr>
        <w:jc w:val="both"/>
        <w:rPr>
          <w:bCs/>
          <w:sz w:val="22"/>
          <w:szCs w:val="22"/>
        </w:rPr>
      </w:pPr>
    </w:p>
    <w:p w:rsidR="00BE15E0" w:rsidRDefault="00BE15E0" w:rsidP="00BE15E0">
      <w:pPr>
        <w:rPr>
          <w:bCs/>
          <w:sz w:val="22"/>
        </w:rPr>
      </w:pPr>
    </w:p>
    <w:p w:rsidR="00BE15E0" w:rsidRDefault="00BE15E0" w:rsidP="00BE15E0">
      <w:pPr>
        <w:pStyle w:val="Prrafodelista"/>
        <w:numPr>
          <w:ilvl w:val="0"/>
          <w:numId w:val="6"/>
        </w:numPr>
        <w:rPr>
          <w:b/>
          <w:bCs/>
          <w:sz w:val="22"/>
        </w:rPr>
      </w:pPr>
      <w:r w:rsidRPr="00BE15E0">
        <w:rPr>
          <w:b/>
          <w:bCs/>
          <w:sz w:val="22"/>
        </w:rPr>
        <w:lastRenderedPageBreak/>
        <w:t xml:space="preserve">DE ORDEN NORMATIVO. </w:t>
      </w:r>
    </w:p>
    <w:p w:rsidR="00553B74" w:rsidRDefault="00553B74" w:rsidP="00BE15E0">
      <w:pPr>
        <w:rPr>
          <w:b/>
          <w:bCs/>
          <w:sz w:val="22"/>
        </w:rPr>
      </w:pPr>
    </w:p>
    <w:p w:rsidR="00553B74" w:rsidRPr="00553B74" w:rsidRDefault="00553B74" w:rsidP="00553B74">
      <w:pPr>
        <w:ind w:left="709" w:hanging="709"/>
        <w:rPr>
          <w:b/>
          <w:bCs/>
          <w:sz w:val="22"/>
        </w:rPr>
      </w:pPr>
      <w:r>
        <w:rPr>
          <w:b/>
          <w:bCs/>
          <w:sz w:val="22"/>
        </w:rPr>
        <w:t xml:space="preserve">Acuerdo Distrital 321 de 2008 </w:t>
      </w:r>
      <w:r w:rsidRPr="00553B74">
        <w:rPr>
          <w:b/>
          <w:bCs/>
          <w:sz w:val="22"/>
        </w:rPr>
        <w:t>"por el cual se establecen las juntas zonales de</w:t>
      </w:r>
    </w:p>
    <w:p w:rsidR="00553B74" w:rsidRDefault="00553B74" w:rsidP="00553B74">
      <w:pPr>
        <w:ind w:left="709" w:hanging="709"/>
        <w:rPr>
          <w:b/>
          <w:bCs/>
          <w:sz w:val="22"/>
        </w:rPr>
      </w:pPr>
      <w:r w:rsidRPr="00553B74">
        <w:rPr>
          <w:b/>
          <w:bCs/>
          <w:sz w:val="22"/>
        </w:rPr>
        <w:t>Seguridad y convivencia ciudadana y se dictan otras</w:t>
      </w:r>
      <w:r>
        <w:rPr>
          <w:b/>
          <w:bCs/>
          <w:sz w:val="22"/>
        </w:rPr>
        <w:t xml:space="preserve"> </w:t>
      </w:r>
      <w:r w:rsidRPr="00553B74">
        <w:rPr>
          <w:b/>
          <w:bCs/>
          <w:sz w:val="22"/>
        </w:rPr>
        <w:t>Disposiciones</w:t>
      </w:r>
      <w:r w:rsidR="00CB1DFE">
        <w:rPr>
          <w:b/>
          <w:bCs/>
          <w:sz w:val="22"/>
        </w:rPr>
        <w:t>"</w:t>
      </w:r>
    </w:p>
    <w:p w:rsidR="00CB1DFE" w:rsidRDefault="00CB1DFE" w:rsidP="00553B74">
      <w:pPr>
        <w:ind w:left="709" w:hanging="709"/>
        <w:rPr>
          <w:b/>
          <w:bCs/>
          <w:sz w:val="22"/>
        </w:rPr>
      </w:pPr>
    </w:p>
    <w:p w:rsidR="00CB1DFE" w:rsidRDefault="00CB1DFE" w:rsidP="00CB1DFE">
      <w:pPr>
        <w:tabs>
          <w:tab w:val="left" w:pos="426"/>
        </w:tabs>
        <w:jc w:val="both"/>
        <w:rPr>
          <w:bCs/>
          <w:sz w:val="22"/>
        </w:rPr>
      </w:pPr>
      <w:r w:rsidRPr="00CB1DFE">
        <w:rPr>
          <w:b/>
          <w:bCs/>
          <w:sz w:val="22"/>
        </w:rPr>
        <w:t>Artículo 2</w:t>
      </w:r>
      <w:r>
        <w:rPr>
          <w:b/>
          <w:bCs/>
          <w:sz w:val="22"/>
        </w:rPr>
        <w:t xml:space="preserve">. </w:t>
      </w:r>
      <w:r w:rsidRPr="00CB1DFE">
        <w:rPr>
          <w:bCs/>
          <w:sz w:val="22"/>
        </w:rPr>
        <w:t xml:space="preserve">En cada UPZ, se constituirá una Junta Zonal de Seguridad y Convivencia Ciudadana, dirigida por el respectivo Alcalde Local, quien debe </w:t>
      </w:r>
      <w:r w:rsidRPr="00CB1DFE">
        <w:rPr>
          <w:bCs/>
          <w:sz w:val="22"/>
          <w:u w:val="single"/>
        </w:rPr>
        <w:t>garantizar la adecuada convocatoria de la comunidad, disponer de los medios necesarios para la realización periódica de los encuentros y velar por la asistencia de los servidores públicos que deban atender los requerimientos ciudadanos</w:t>
      </w:r>
      <w:r>
        <w:rPr>
          <w:bCs/>
          <w:sz w:val="22"/>
        </w:rPr>
        <w:t xml:space="preserve">. </w:t>
      </w:r>
      <w:r w:rsidRPr="00CB1DFE">
        <w:rPr>
          <w:bCs/>
          <w:sz w:val="22"/>
        </w:rPr>
        <w:t>Los Comandantes de Estaciones de Policía en cada una de las localidades deben asistir a estas juntas y sólo podrán delegar su participación en oficiales de la institución. Sin embargo, cuando las circunstancias lo ameriten y así lo solicite el Alcalde Local, su asistencia será indelegable.</w:t>
      </w:r>
    </w:p>
    <w:p w:rsidR="00CB1DFE" w:rsidRPr="00CB1DFE" w:rsidRDefault="00CB1DFE" w:rsidP="00CB1DFE">
      <w:pPr>
        <w:tabs>
          <w:tab w:val="left" w:pos="426"/>
        </w:tabs>
        <w:jc w:val="both"/>
        <w:rPr>
          <w:bCs/>
          <w:sz w:val="22"/>
        </w:rPr>
      </w:pPr>
    </w:p>
    <w:p w:rsidR="00CB1DFE" w:rsidRDefault="00CB1DFE" w:rsidP="00CB1DFE">
      <w:pPr>
        <w:jc w:val="both"/>
        <w:rPr>
          <w:bCs/>
          <w:sz w:val="22"/>
        </w:rPr>
      </w:pPr>
      <w:r w:rsidRPr="00CB1DFE">
        <w:rPr>
          <w:b/>
          <w:bCs/>
          <w:sz w:val="22"/>
        </w:rPr>
        <w:t>PARÁGRAFO</w:t>
      </w:r>
      <w:r w:rsidRPr="00CB1DFE">
        <w:rPr>
          <w:bCs/>
          <w:sz w:val="22"/>
        </w:rPr>
        <w:t>. La Secretaría de Gobierno Distrital deberá prestar apoyo logístico a las Alcaldías Locales, para el correcto funcionamiento de las Juntas Zonales.</w:t>
      </w:r>
    </w:p>
    <w:p w:rsidR="00CB1DFE" w:rsidRDefault="00CB1DFE" w:rsidP="00CB1DFE">
      <w:pPr>
        <w:jc w:val="both"/>
        <w:rPr>
          <w:bCs/>
          <w:sz w:val="22"/>
        </w:rPr>
      </w:pPr>
    </w:p>
    <w:p w:rsidR="00CB1DFE" w:rsidRDefault="00CB1DFE" w:rsidP="00CB1DFE">
      <w:pPr>
        <w:jc w:val="both"/>
        <w:rPr>
          <w:bCs/>
          <w:sz w:val="22"/>
        </w:rPr>
      </w:pPr>
      <w:r w:rsidRPr="00CB1DFE">
        <w:rPr>
          <w:b/>
          <w:bCs/>
          <w:sz w:val="22"/>
        </w:rPr>
        <w:t>Artículo</w:t>
      </w:r>
      <w:r w:rsidRPr="00CB1DFE">
        <w:rPr>
          <w:b/>
          <w:bCs/>
          <w:sz w:val="22"/>
        </w:rPr>
        <w:t xml:space="preserve"> 3</w:t>
      </w:r>
      <w:r w:rsidRPr="00CB1DFE">
        <w:rPr>
          <w:bCs/>
          <w:sz w:val="22"/>
        </w:rPr>
        <w:t>. Las Juntas Zonales de Seguridad y Convivencia</w:t>
      </w:r>
      <w:r>
        <w:rPr>
          <w:bCs/>
          <w:sz w:val="22"/>
        </w:rPr>
        <w:t xml:space="preserve"> </w:t>
      </w:r>
      <w:r w:rsidRPr="00CB1DFE">
        <w:rPr>
          <w:bCs/>
          <w:sz w:val="22"/>
        </w:rPr>
        <w:t>Ciudadana, tendrán las siguientes funciones:</w:t>
      </w:r>
      <w:r>
        <w:rPr>
          <w:bCs/>
          <w:sz w:val="22"/>
        </w:rPr>
        <w:t xml:space="preserve"> </w:t>
      </w:r>
    </w:p>
    <w:p w:rsidR="00CB1DFE" w:rsidRDefault="00CB1DFE" w:rsidP="00CB1DFE">
      <w:pPr>
        <w:pStyle w:val="Prrafodelista"/>
        <w:numPr>
          <w:ilvl w:val="0"/>
          <w:numId w:val="8"/>
        </w:numPr>
        <w:jc w:val="both"/>
        <w:rPr>
          <w:bCs/>
          <w:sz w:val="22"/>
        </w:rPr>
      </w:pPr>
      <w:r w:rsidRPr="00CB1DFE">
        <w:rPr>
          <w:bCs/>
          <w:sz w:val="22"/>
        </w:rPr>
        <w:t>Ser órgano de prevención de las autoridades y los habitantes de las</w:t>
      </w:r>
      <w:r w:rsidRPr="00CB1DFE">
        <w:rPr>
          <w:bCs/>
          <w:sz w:val="22"/>
        </w:rPr>
        <w:t xml:space="preserve"> </w:t>
      </w:r>
      <w:r w:rsidRPr="00CB1DFE">
        <w:rPr>
          <w:bCs/>
          <w:sz w:val="22"/>
        </w:rPr>
        <w:t>Unidades de Planeamiento Zonal sobre los temas que afectan la</w:t>
      </w:r>
      <w:r w:rsidRPr="00CB1DFE">
        <w:rPr>
          <w:bCs/>
          <w:sz w:val="22"/>
        </w:rPr>
        <w:t xml:space="preserve"> </w:t>
      </w:r>
      <w:r w:rsidRPr="00CB1DFE">
        <w:rPr>
          <w:bCs/>
          <w:sz w:val="22"/>
        </w:rPr>
        <w:t>seguridad y la convivencia ciudadana.</w:t>
      </w:r>
    </w:p>
    <w:p w:rsidR="00CB1DFE" w:rsidRDefault="00CB1DFE" w:rsidP="00045C9B">
      <w:pPr>
        <w:pStyle w:val="Prrafodelista"/>
        <w:numPr>
          <w:ilvl w:val="0"/>
          <w:numId w:val="8"/>
        </w:numPr>
        <w:jc w:val="both"/>
        <w:rPr>
          <w:bCs/>
          <w:sz w:val="22"/>
        </w:rPr>
      </w:pPr>
      <w:r w:rsidRPr="00CB1DFE">
        <w:rPr>
          <w:bCs/>
          <w:sz w:val="22"/>
        </w:rPr>
        <w:t>Recepcionar las informaciones y sugerencias que en materia de</w:t>
      </w:r>
      <w:r w:rsidRPr="00CB1DFE">
        <w:rPr>
          <w:bCs/>
          <w:sz w:val="22"/>
        </w:rPr>
        <w:t xml:space="preserve"> </w:t>
      </w:r>
      <w:r w:rsidRPr="00CB1DFE">
        <w:rPr>
          <w:bCs/>
          <w:sz w:val="22"/>
        </w:rPr>
        <w:t>seguridad presenten los participantes a las Juntas Zonales.</w:t>
      </w:r>
      <w:r w:rsidRPr="00CB1DFE">
        <w:rPr>
          <w:bCs/>
          <w:sz w:val="22"/>
        </w:rPr>
        <w:t xml:space="preserve"> </w:t>
      </w:r>
    </w:p>
    <w:p w:rsidR="00CB1DFE" w:rsidRDefault="00CB1DFE" w:rsidP="00A354AF">
      <w:pPr>
        <w:pStyle w:val="Prrafodelista"/>
        <w:numPr>
          <w:ilvl w:val="0"/>
          <w:numId w:val="8"/>
        </w:numPr>
        <w:jc w:val="both"/>
        <w:rPr>
          <w:bCs/>
          <w:sz w:val="22"/>
        </w:rPr>
      </w:pPr>
      <w:r w:rsidRPr="00CB1DFE">
        <w:rPr>
          <w:bCs/>
          <w:sz w:val="22"/>
        </w:rPr>
        <w:t>Trasladar a la autoridad competente, la información recibida sobre</w:t>
      </w:r>
      <w:r w:rsidRPr="00CB1DFE">
        <w:rPr>
          <w:bCs/>
          <w:sz w:val="22"/>
        </w:rPr>
        <w:t xml:space="preserve"> </w:t>
      </w:r>
      <w:r w:rsidRPr="00CB1DFE">
        <w:rPr>
          <w:bCs/>
          <w:sz w:val="22"/>
        </w:rPr>
        <w:t>hechos que puedan afectar la seguridad o la convivencia ciudadana.</w:t>
      </w:r>
    </w:p>
    <w:p w:rsidR="00CB1DFE" w:rsidRDefault="00CB1DFE" w:rsidP="00CB1DFE">
      <w:pPr>
        <w:pStyle w:val="Prrafodelista"/>
        <w:numPr>
          <w:ilvl w:val="0"/>
          <w:numId w:val="8"/>
        </w:numPr>
        <w:jc w:val="both"/>
        <w:rPr>
          <w:bCs/>
          <w:sz w:val="22"/>
        </w:rPr>
      </w:pPr>
      <w:r w:rsidRPr="00CB1DFE">
        <w:rPr>
          <w:bCs/>
          <w:sz w:val="22"/>
        </w:rPr>
        <w:t>Tramitar las quejas y reclamos de los asistentes a las juntas, ante las</w:t>
      </w:r>
      <w:r w:rsidRPr="00CB1DFE">
        <w:rPr>
          <w:bCs/>
          <w:sz w:val="22"/>
        </w:rPr>
        <w:t xml:space="preserve"> </w:t>
      </w:r>
      <w:r w:rsidRPr="00CB1DFE">
        <w:rPr>
          <w:bCs/>
          <w:sz w:val="22"/>
        </w:rPr>
        <w:t>autoridades competentes, en materia de seguridad y convivencia</w:t>
      </w:r>
      <w:r w:rsidRPr="00CB1DFE">
        <w:rPr>
          <w:bCs/>
          <w:sz w:val="22"/>
        </w:rPr>
        <w:t xml:space="preserve"> </w:t>
      </w:r>
      <w:r w:rsidRPr="00CB1DFE">
        <w:rPr>
          <w:bCs/>
          <w:sz w:val="22"/>
        </w:rPr>
        <w:t>ciudadana.</w:t>
      </w:r>
      <w:r>
        <w:rPr>
          <w:bCs/>
          <w:sz w:val="22"/>
        </w:rPr>
        <w:t xml:space="preserve"> </w:t>
      </w:r>
    </w:p>
    <w:p w:rsidR="00CB1DFE" w:rsidRDefault="00CB1DFE" w:rsidP="00F768DF">
      <w:pPr>
        <w:pStyle w:val="Prrafodelista"/>
        <w:numPr>
          <w:ilvl w:val="0"/>
          <w:numId w:val="8"/>
        </w:numPr>
        <w:jc w:val="both"/>
        <w:rPr>
          <w:bCs/>
          <w:sz w:val="22"/>
        </w:rPr>
      </w:pPr>
      <w:r w:rsidRPr="00CB1DFE">
        <w:rPr>
          <w:bCs/>
          <w:sz w:val="22"/>
        </w:rPr>
        <w:t>Promover y acompañar el adecuado funcionamiento de los frentes de</w:t>
      </w:r>
      <w:r w:rsidRPr="00CB1DFE">
        <w:rPr>
          <w:bCs/>
          <w:sz w:val="22"/>
        </w:rPr>
        <w:t xml:space="preserve"> </w:t>
      </w:r>
      <w:r w:rsidRPr="00CB1DFE">
        <w:rPr>
          <w:bCs/>
          <w:sz w:val="22"/>
        </w:rPr>
        <w:t>seguridad.</w:t>
      </w:r>
    </w:p>
    <w:p w:rsidR="00CB1DFE" w:rsidRDefault="00CB1DFE" w:rsidP="002C4D7F">
      <w:pPr>
        <w:pStyle w:val="Prrafodelista"/>
        <w:numPr>
          <w:ilvl w:val="0"/>
          <w:numId w:val="8"/>
        </w:numPr>
        <w:jc w:val="both"/>
        <w:rPr>
          <w:bCs/>
          <w:sz w:val="22"/>
        </w:rPr>
      </w:pPr>
      <w:r w:rsidRPr="00CB1DFE">
        <w:rPr>
          <w:bCs/>
          <w:sz w:val="22"/>
        </w:rPr>
        <w:t>Velar por la eficiente y oportuna prestación del servicio de policía.</w:t>
      </w:r>
    </w:p>
    <w:p w:rsidR="00CB1DFE" w:rsidRDefault="00CB1DFE" w:rsidP="007360A1">
      <w:pPr>
        <w:pStyle w:val="Prrafodelista"/>
        <w:numPr>
          <w:ilvl w:val="0"/>
          <w:numId w:val="8"/>
        </w:numPr>
        <w:jc w:val="both"/>
        <w:rPr>
          <w:bCs/>
          <w:sz w:val="22"/>
        </w:rPr>
      </w:pPr>
      <w:r w:rsidRPr="00CB1DFE">
        <w:rPr>
          <w:bCs/>
          <w:sz w:val="22"/>
        </w:rPr>
        <w:t>Promover la participación del sector privado en la Red de Apoyo y</w:t>
      </w:r>
      <w:r w:rsidRPr="00CB1DFE">
        <w:rPr>
          <w:bCs/>
          <w:sz w:val="22"/>
        </w:rPr>
        <w:t xml:space="preserve"> </w:t>
      </w:r>
      <w:r w:rsidRPr="00CB1DFE">
        <w:rPr>
          <w:bCs/>
          <w:sz w:val="22"/>
        </w:rPr>
        <w:t>Solidaridad Ciudadana (Acuerdo 233 de 2006).</w:t>
      </w:r>
    </w:p>
    <w:p w:rsidR="00CB1DFE" w:rsidRDefault="00CB1DFE" w:rsidP="00200B1E">
      <w:pPr>
        <w:pStyle w:val="Prrafodelista"/>
        <w:numPr>
          <w:ilvl w:val="0"/>
          <w:numId w:val="8"/>
        </w:numPr>
        <w:jc w:val="both"/>
        <w:rPr>
          <w:bCs/>
          <w:sz w:val="22"/>
        </w:rPr>
      </w:pPr>
      <w:r w:rsidRPr="00CB1DFE">
        <w:rPr>
          <w:bCs/>
          <w:sz w:val="22"/>
        </w:rPr>
        <w:t>Promover la celebración de acuerdos entre las diferentes entidades</w:t>
      </w:r>
      <w:r w:rsidRPr="00CB1DFE">
        <w:rPr>
          <w:bCs/>
          <w:sz w:val="22"/>
        </w:rPr>
        <w:t xml:space="preserve"> </w:t>
      </w:r>
      <w:r w:rsidRPr="00CB1DFE">
        <w:rPr>
          <w:bCs/>
          <w:sz w:val="22"/>
        </w:rPr>
        <w:t>gubernamentales y la comunidad para la solución de problemas que</w:t>
      </w:r>
      <w:r w:rsidRPr="00CB1DFE">
        <w:rPr>
          <w:bCs/>
          <w:sz w:val="22"/>
        </w:rPr>
        <w:t xml:space="preserve"> </w:t>
      </w:r>
      <w:r w:rsidRPr="00CB1DFE">
        <w:rPr>
          <w:bCs/>
          <w:sz w:val="22"/>
        </w:rPr>
        <w:t>afecten la seguridad o la convivencia ciudadana. Estos acuerdos</w:t>
      </w:r>
      <w:r w:rsidRPr="00CB1DFE">
        <w:rPr>
          <w:bCs/>
          <w:sz w:val="22"/>
        </w:rPr>
        <w:t xml:space="preserve"> </w:t>
      </w:r>
      <w:r w:rsidRPr="00CB1DFE">
        <w:rPr>
          <w:bCs/>
          <w:sz w:val="22"/>
        </w:rPr>
        <w:t>señalarán claramente los compromisos adquiridos por el sector público</w:t>
      </w:r>
      <w:r w:rsidRPr="00CB1DFE">
        <w:rPr>
          <w:bCs/>
          <w:sz w:val="22"/>
        </w:rPr>
        <w:t xml:space="preserve"> </w:t>
      </w:r>
      <w:r w:rsidRPr="00CB1DFE">
        <w:rPr>
          <w:bCs/>
          <w:sz w:val="22"/>
        </w:rPr>
        <w:t>y el sector privado, y se denominarán pactos locales de convivencia y</w:t>
      </w:r>
      <w:r w:rsidRPr="00CB1DFE">
        <w:rPr>
          <w:bCs/>
          <w:sz w:val="22"/>
        </w:rPr>
        <w:t xml:space="preserve"> </w:t>
      </w:r>
      <w:r w:rsidRPr="00CB1DFE">
        <w:rPr>
          <w:bCs/>
          <w:sz w:val="22"/>
        </w:rPr>
        <w:t xml:space="preserve">seguridad ciudadana que tendrán por parte </w:t>
      </w:r>
      <w:r w:rsidRPr="00CB1DFE">
        <w:rPr>
          <w:bCs/>
          <w:sz w:val="22"/>
        </w:rPr>
        <w:t>d</w:t>
      </w:r>
      <w:r w:rsidRPr="00CB1DFE">
        <w:rPr>
          <w:bCs/>
          <w:sz w:val="22"/>
        </w:rPr>
        <w:t>e la Subsecretaria de</w:t>
      </w:r>
    </w:p>
    <w:p w:rsidR="00CB1DFE" w:rsidRDefault="00CB1DFE" w:rsidP="00CB1DFE">
      <w:pPr>
        <w:pStyle w:val="Prrafodelista"/>
        <w:ind w:left="720"/>
        <w:jc w:val="both"/>
        <w:rPr>
          <w:bCs/>
          <w:sz w:val="22"/>
        </w:rPr>
      </w:pPr>
      <w:r w:rsidRPr="00CB1DFE">
        <w:rPr>
          <w:bCs/>
          <w:sz w:val="22"/>
        </w:rPr>
        <w:t>Asuntos para la Convivencia y Seguridad Ciudadana un seguimiento</w:t>
      </w:r>
      <w:r w:rsidRPr="00CB1DFE">
        <w:rPr>
          <w:bCs/>
          <w:sz w:val="22"/>
        </w:rPr>
        <w:t xml:space="preserve"> </w:t>
      </w:r>
      <w:r w:rsidRPr="00CB1DFE">
        <w:rPr>
          <w:bCs/>
          <w:sz w:val="22"/>
        </w:rPr>
        <w:t>permanente a los compromisos suscritos.</w:t>
      </w:r>
    </w:p>
    <w:p w:rsidR="00CB1DFE" w:rsidRDefault="00CB1DFE" w:rsidP="00CB1DFE">
      <w:pPr>
        <w:jc w:val="both"/>
        <w:rPr>
          <w:bCs/>
          <w:sz w:val="22"/>
        </w:rPr>
      </w:pPr>
    </w:p>
    <w:p w:rsidR="00CB1DFE" w:rsidRPr="00CB1DFE" w:rsidRDefault="00CB1DFE" w:rsidP="00CB1DFE">
      <w:pPr>
        <w:jc w:val="both"/>
        <w:rPr>
          <w:bCs/>
          <w:sz w:val="22"/>
        </w:rPr>
      </w:pPr>
      <w:r w:rsidRPr="00CB1DFE">
        <w:rPr>
          <w:b/>
          <w:bCs/>
          <w:sz w:val="22"/>
        </w:rPr>
        <w:t>Decreto 657 de 2011</w:t>
      </w:r>
      <w:r>
        <w:rPr>
          <w:bCs/>
          <w:sz w:val="22"/>
        </w:rPr>
        <w:t xml:space="preserve"> </w:t>
      </w:r>
      <w:r w:rsidRPr="00CB1DFE">
        <w:rPr>
          <w:b/>
          <w:bCs/>
          <w:sz w:val="22"/>
        </w:rPr>
        <w:t>“Por el cual se adopta la Política Pública Distrital de Convivencia y Seguridad Ciudadana y se armonizan los procedimientos y mecanismos para la formulación, aprobación, ejecución, seguimiento, evaluación y control de los planes integrales de convivencia y seguridad ciudadana –PICS- del Distrito Capital y se dictan otras disposiciones”</w:t>
      </w:r>
      <w:r w:rsidRPr="00CB1DFE">
        <w:rPr>
          <w:bCs/>
          <w:sz w:val="22"/>
        </w:rPr>
        <w:t xml:space="preserve"> </w:t>
      </w:r>
    </w:p>
    <w:p w:rsidR="00CB1DFE" w:rsidRPr="00CB1DFE" w:rsidRDefault="00CB1DFE" w:rsidP="00CB1DFE">
      <w:pPr>
        <w:jc w:val="both"/>
        <w:rPr>
          <w:bCs/>
          <w:sz w:val="22"/>
        </w:rPr>
      </w:pPr>
    </w:p>
    <w:p w:rsidR="00CB1DFE" w:rsidRPr="00CB1DFE" w:rsidRDefault="00CB1DFE" w:rsidP="00CB1DFE">
      <w:pPr>
        <w:jc w:val="both"/>
        <w:rPr>
          <w:bCs/>
          <w:sz w:val="22"/>
        </w:rPr>
      </w:pPr>
      <w:r w:rsidRPr="00CB1DFE">
        <w:rPr>
          <w:b/>
          <w:bCs/>
          <w:sz w:val="22"/>
        </w:rPr>
        <w:lastRenderedPageBreak/>
        <w:t>Artículo 51.-</w:t>
      </w:r>
      <w:r w:rsidRPr="00CB1DFE">
        <w:rPr>
          <w:bCs/>
          <w:sz w:val="22"/>
        </w:rPr>
        <w:t xml:space="preserve"> Participación ciudadana: Es el derecho al ejercicio pleno del poder de las personas que, en condición de sujetos sociales y políticos, y de manera individual o colectiva transforman e inciden en la esfera pública en función del bien general y el cumplimiento de los derechos civiles. políticos, sociales, económicos, ambientales y culturales, mediante procesos de diálogo, deliberación y concertación entre actores sociales e institucionales, para materializar las políticas públicas, bajo los principios de dignidad humana, equidad, diversidad, incidencia.</w:t>
      </w:r>
    </w:p>
    <w:p w:rsidR="00CB1DFE" w:rsidRPr="00CB1DFE" w:rsidRDefault="00CB1DFE" w:rsidP="00CB1DFE">
      <w:pPr>
        <w:jc w:val="both"/>
        <w:rPr>
          <w:bCs/>
          <w:sz w:val="22"/>
        </w:rPr>
      </w:pPr>
    </w:p>
    <w:p w:rsidR="00CB1DFE" w:rsidRPr="00CB1DFE" w:rsidRDefault="00CB1DFE" w:rsidP="00CB1DFE">
      <w:pPr>
        <w:jc w:val="both"/>
        <w:rPr>
          <w:bCs/>
          <w:sz w:val="22"/>
        </w:rPr>
      </w:pPr>
      <w:r w:rsidRPr="00CB1DFE">
        <w:rPr>
          <w:bCs/>
          <w:sz w:val="22"/>
        </w:rPr>
        <w:t>Con el propósito de que las intervenciones generadas a través de los Planes Integrales de Convivencia y Seguridad Ciudadana –PICS- sean más pertinentes y generen mayor sentido de pertenencia y corresponsabilidad, se generaran escenarios de participación ciudadana para la identificación de los problemas de convivencia y seguridad de las localidades y la ciudad, en los que se hagan compromisos entre los administrados y sus autoridades para la construcción de la Convivencia y la Seguridad Ciudadanas.</w:t>
      </w:r>
    </w:p>
    <w:p w:rsidR="00CB1DFE" w:rsidRPr="00CB1DFE" w:rsidRDefault="00CB1DFE" w:rsidP="00CB1DFE">
      <w:pPr>
        <w:ind w:left="709" w:hanging="709"/>
        <w:jc w:val="both"/>
        <w:rPr>
          <w:bCs/>
          <w:sz w:val="22"/>
        </w:rPr>
      </w:pPr>
    </w:p>
    <w:p w:rsidR="00BE15E0" w:rsidRDefault="00BE15E0" w:rsidP="00BE15E0">
      <w:pPr>
        <w:rPr>
          <w:b/>
          <w:bCs/>
          <w:sz w:val="22"/>
        </w:rPr>
      </w:pPr>
      <w:r>
        <w:rPr>
          <w:b/>
          <w:bCs/>
          <w:sz w:val="22"/>
        </w:rPr>
        <w:t>Acuerdo Distrital 927 de 2024</w:t>
      </w:r>
      <w:r w:rsidR="00CB1DFE">
        <w:rPr>
          <w:b/>
          <w:bCs/>
          <w:sz w:val="22"/>
        </w:rPr>
        <w:t xml:space="preserve"> </w:t>
      </w:r>
      <w:r w:rsidR="00CB1DFE" w:rsidRPr="00CB1DFE">
        <w:rPr>
          <w:b/>
          <w:bCs/>
          <w:sz w:val="22"/>
        </w:rPr>
        <w:t>“Por medio del cual se adopta el Plan de Desarrollo, Económico, Social, Ambiental y de Obras Públicas del Distrito Capital 2024-2027 “Bogotá Camina Segura”</w:t>
      </w:r>
    </w:p>
    <w:p w:rsidR="002C520D" w:rsidRDefault="002C520D" w:rsidP="00BE15E0">
      <w:pPr>
        <w:rPr>
          <w:b/>
          <w:bCs/>
          <w:sz w:val="22"/>
        </w:rPr>
      </w:pPr>
    </w:p>
    <w:p w:rsidR="00CB1DFE" w:rsidRPr="00CB1DFE" w:rsidRDefault="00CB1DFE" w:rsidP="00CB1DFE">
      <w:pPr>
        <w:jc w:val="both"/>
        <w:rPr>
          <w:bCs/>
          <w:sz w:val="22"/>
        </w:rPr>
      </w:pPr>
      <w:r w:rsidRPr="00CB1DFE">
        <w:rPr>
          <w:b/>
          <w:bCs/>
          <w:sz w:val="22"/>
        </w:rPr>
        <w:t xml:space="preserve">Artículo 24. </w:t>
      </w:r>
      <w:r w:rsidRPr="00CB1DFE">
        <w:rPr>
          <w:bCs/>
          <w:sz w:val="22"/>
        </w:rPr>
        <w:t>Enfoque de lucha contra la criminalidad. El Distrito Capital destinará recursos para el mantenimiento de las cámaras de videovigilancia que se encuentran fuera de servicio, dotación, estructura física y aumento de personal para el Centro de Comando, Control, Comunicación y Cómputo (C4), con el fin de aumentar su capacidad operativa, de anticipación y respuesta a eventos críticos, delincuenciales y emergencias. Asimismo, el Distrito estudiará y revisará la posibilidad de rentar y alquilar servicios de videovigilancia, que incluyan analítica de datos y uso de herramientas de inteligencia artificial, para fortalecer al Sistema.</w:t>
      </w:r>
    </w:p>
    <w:p w:rsidR="00CB1DFE" w:rsidRPr="00CB1DFE" w:rsidRDefault="00CB1DFE" w:rsidP="00CB1DFE">
      <w:pPr>
        <w:jc w:val="both"/>
        <w:rPr>
          <w:bCs/>
          <w:sz w:val="22"/>
        </w:rPr>
      </w:pPr>
    </w:p>
    <w:p w:rsidR="00CB1DFE" w:rsidRPr="00CB1DFE" w:rsidRDefault="00CB1DFE" w:rsidP="00CB1DFE">
      <w:pPr>
        <w:jc w:val="both"/>
        <w:rPr>
          <w:bCs/>
          <w:sz w:val="22"/>
        </w:rPr>
      </w:pPr>
      <w:r w:rsidRPr="00CB1DFE">
        <w:rPr>
          <w:bCs/>
          <w:sz w:val="22"/>
        </w:rPr>
        <w:t>Adicionalmente se hará una evaluación de las capacidades instaladas de Comando y Control local con el fin de proponer e implementar un plan de fortalecimiento tecnológico que contribuya al fortalecimiento del modelo integrado de gestión de la convivencia y seguridad en los territorios y las redes colaborativas de seguridad dentro de las que se incluyen los frentes de seguridad local.</w:t>
      </w:r>
    </w:p>
    <w:p w:rsidR="00CB1DFE" w:rsidRPr="00CB1DFE" w:rsidRDefault="00CB1DFE" w:rsidP="00CB1DFE">
      <w:pPr>
        <w:jc w:val="both"/>
        <w:rPr>
          <w:bCs/>
          <w:sz w:val="22"/>
        </w:rPr>
      </w:pPr>
    </w:p>
    <w:p w:rsidR="002C520D" w:rsidRDefault="00CB1DFE" w:rsidP="00CB1DFE">
      <w:pPr>
        <w:jc w:val="both"/>
        <w:rPr>
          <w:bCs/>
          <w:sz w:val="22"/>
        </w:rPr>
      </w:pPr>
      <w:r w:rsidRPr="00CB1DFE">
        <w:rPr>
          <w:bCs/>
          <w:sz w:val="22"/>
        </w:rPr>
        <w:t>Por otro lado, en función de afectar estructuras criminales se deberán diseñar e implementar acciones encaminadas a mitigar el mercado de estructuras criminales de hurto</w:t>
      </w:r>
      <w:r>
        <w:rPr>
          <w:bCs/>
          <w:sz w:val="22"/>
        </w:rPr>
        <w:t xml:space="preserve">. </w:t>
      </w:r>
    </w:p>
    <w:p w:rsidR="00CB1DFE" w:rsidRPr="00CB1DFE" w:rsidRDefault="00CB1DFE" w:rsidP="00CB1DFE">
      <w:pPr>
        <w:jc w:val="both"/>
        <w:rPr>
          <w:bCs/>
          <w:sz w:val="22"/>
        </w:rPr>
      </w:pPr>
    </w:p>
    <w:p w:rsidR="002C520D" w:rsidRDefault="00772E37" w:rsidP="002C520D">
      <w:pPr>
        <w:jc w:val="both"/>
        <w:rPr>
          <w:b/>
          <w:bCs/>
          <w:sz w:val="22"/>
        </w:rPr>
      </w:pPr>
      <w:r w:rsidRPr="00772E37">
        <w:rPr>
          <w:b/>
          <w:bCs/>
          <w:sz w:val="22"/>
        </w:rPr>
        <w:t>COMPETENCIA DEL CONCEJO DE BOGOTÁ</w:t>
      </w:r>
    </w:p>
    <w:p w:rsidR="00772E37" w:rsidRDefault="00772E37" w:rsidP="00772E37">
      <w:pPr>
        <w:jc w:val="both"/>
        <w:rPr>
          <w:b/>
          <w:bCs/>
          <w:sz w:val="22"/>
        </w:rPr>
      </w:pPr>
    </w:p>
    <w:p w:rsidR="00772E37" w:rsidRPr="00772E37" w:rsidRDefault="00772E37" w:rsidP="00772E37">
      <w:pPr>
        <w:jc w:val="both"/>
        <w:rPr>
          <w:b/>
          <w:bCs/>
          <w:sz w:val="22"/>
        </w:rPr>
      </w:pPr>
      <w:r w:rsidRPr="00772E37">
        <w:rPr>
          <w:b/>
          <w:bCs/>
          <w:sz w:val="22"/>
        </w:rPr>
        <w:t>DECRETO 1421 DE 1993</w:t>
      </w:r>
    </w:p>
    <w:p w:rsidR="00772E37" w:rsidRPr="00772E37" w:rsidRDefault="00772E37" w:rsidP="00772E37">
      <w:pPr>
        <w:jc w:val="both"/>
        <w:rPr>
          <w:b/>
          <w:bCs/>
          <w:sz w:val="22"/>
        </w:rPr>
      </w:pPr>
    </w:p>
    <w:p w:rsidR="00772E37" w:rsidRPr="00772E37" w:rsidRDefault="00772E37" w:rsidP="00772E37">
      <w:pPr>
        <w:jc w:val="both"/>
        <w:rPr>
          <w:bCs/>
          <w:sz w:val="22"/>
        </w:rPr>
      </w:pPr>
      <w:r w:rsidRPr="00772E37">
        <w:rPr>
          <w:bCs/>
          <w:sz w:val="22"/>
        </w:rPr>
        <w:t xml:space="preserve">El Concejo de Bogotá es competente, de acuerdo con: </w:t>
      </w:r>
    </w:p>
    <w:p w:rsidR="00772E37" w:rsidRPr="00772E37" w:rsidRDefault="00772E37" w:rsidP="00772E37">
      <w:pPr>
        <w:jc w:val="both"/>
        <w:rPr>
          <w:bCs/>
          <w:sz w:val="22"/>
        </w:rPr>
      </w:pPr>
    </w:p>
    <w:p w:rsidR="00772E37" w:rsidRPr="00772E37" w:rsidRDefault="00772E37" w:rsidP="00772E37">
      <w:pPr>
        <w:jc w:val="both"/>
        <w:rPr>
          <w:bCs/>
          <w:sz w:val="22"/>
        </w:rPr>
      </w:pPr>
      <w:r w:rsidRPr="00772E37">
        <w:rPr>
          <w:b/>
          <w:bCs/>
          <w:sz w:val="22"/>
        </w:rPr>
        <w:t xml:space="preserve">ARTÍCULO  12. </w:t>
      </w:r>
      <w:r w:rsidRPr="00772E37">
        <w:rPr>
          <w:bCs/>
          <w:sz w:val="22"/>
        </w:rPr>
        <w:t>Atribuciones. Corresponde al Concejo Distrital, de conformidad con la Constitución y a la ley:</w:t>
      </w:r>
    </w:p>
    <w:p w:rsidR="00772E37" w:rsidRPr="00772E37" w:rsidRDefault="00772E37" w:rsidP="00772E37">
      <w:pPr>
        <w:jc w:val="both"/>
        <w:rPr>
          <w:bCs/>
          <w:sz w:val="22"/>
        </w:rPr>
      </w:pPr>
    </w:p>
    <w:p w:rsidR="00964ADD" w:rsidRPr="00772E37" w:rsidRDefault="00772E37" w:rsidP="00772E37">
      <w:pPr>
        <w:pStyle w:val="Prrafodelista"/>
        <w:numPr>
          <w:ilvl w:val="0"/>
          <w:numId w:val="7"/>
        </w:numPr>
        <w:jc w:val="both"/>
        <w:rPr>
          <w:bCs/>
          <w:sz w:val="22"/>
        </w:rPr>
      </w:pPr>
      <w:r w:rsidRPr="00772E37">
        <w:rPr>
          <w:bCs/>
          <w:sz w:val="22"/>
        </w:rPr>
        <w:lastRenderedPageBreak/>
        <w:t>Dictar las normas necesarias para garantizar el adecuado cumplimiento de las funciones y la eficiente prestación de los servicios a cargo del Distrito.</w:t>
      </w:r>
    </w:p>
    <w:p w:rsidR="00772E37" w:rsidRDefault="00772E37" w:rsidP="00772E37">
      <w:pPr>
        <w:jc w:val="both"/>
        <w:rPr>
          <w:bCs/>
          <w:sz w:val="20"/>
        </w:rPr>
      </w:pPr>
    </w:p>
    <w:p w:rsidR="00772E37" w:rsidRPr="00772E37" w:rsidRDefault="00772E37" w:rsidP="00772E37">
      <w:pPr>
        <w:jc w:val="both"/>
        <w:rPr>
          <w:bCs/>
          <w:sz w:val="22"/>
        </w:rPr>
      </w:pPr>
      <w:r w:rsidRPr="00772E37">
        <w:rPr>
          <w:b/>
          <w:bCs/>
          <w:sz w:val="22"/>
        </w:rPr>
        <w:t>IMPACTO FISCAL</w:t>
      </w:r>
    </w:p>
    <w:p w:rsidR="00772E37" w:rsidRPr="00772E37" w:rsidRDefault="00772E37" w:rsidP="00772E37">
      <w:pPr>
        <w:jc w:val="both"/>
        <w:rPr>
          <w:bCs/>
          <w:sz w:val="22"/>
        </w:rPr>
      </w:pPr>
    </w:p>
    <w:p w:rsidR="00FA6607" w:rsidRDefault="00772E37" w:rsidP="002C520D">
      <w:pPr>
        <w:jc w:val="both"/>
        <w:rPr>
          <w:bCs/>
          <w:sz w:val="22"/>
        </w:rPr>
      </w:pPr>
      <w:r w:rsidRPr="00772E37">
        <w:rPr>
          <w:bCs/>
          <w:sz w:val="22"/>
        </w:rPr>
        <w:t xml:space="preserve">Conforme a lo establecido en la Leu 819 de 2003, la iniciativa normativa, si bien puede implicar erogaciones del presupuesto público, las mismas pueden ser asumidas por el rubro de atención </w:t>
      </w:r>
      <w:r w:rsidR="00CB1DFE">
        <w:rPr>
          <w:bCs/>
          <w:sz w:val="22"/>
        </w:rPr>
        <w:t xml:space="preserve">por el que hoy en día se fortalecen los frentes de seguridad ciudadana o las estrategias de reforzamiento de la seguridad con participación </w:t>
      </w:r>
      <w:r w:rsidR="00FA6607">
        <w:rPr>
          <w:bCs/>
          <w:sz w:val="22"/>
        </w:rPr>
        <w:t>ciudadana.</w:t>
      </w:r>
    </w:p>
    <w:p w:rsidR="00FA6607" w:rsidRDefault="00FA6607" w:rsidP="002C520D">
      <w:pPr>
        <w:jc w:val="both"/>
        <w:rPr>
          <w:bCs/>
          <w:sz w:val="22"/>
        </w:rPr>
      </w:pPr>
    </w:p>
    <w:p w:rsidR="00772E37" w:rsidRDefault="00FA6607" w:rsidP="002C520D">
      <w:pPr>
        <w:jc w:val="both"/>
        <w:rPr>
          <w:b/>
          <w:bCs/>
          <w:sz w:val="22"/>
        </w:rPr>
      </w:pPr>
      <w:r w:rsidRPr="00772E37">
        <w:rPr>
          <w:b/>
          <w:bCs/>
          <w:sz w:val="22"/>
        </w:rPr>
        <w:t xml:space="preserve"> </w:t>
      </w:r>
      <w:r w:rsidR="00772E37" w:rsidRPr="00772E37">
        <w:rPr>
          <w:b/>
          <w:bCs/>
          <w:sz w:val="22"/>
        </w:rPr>
        <w:t>CONSIERACIONES DEL PONENTE</w:t>
      </w:r>
    </w:p>
    <w:p w:rsidR="00FA6607" w:rsidRPr="00772E37" w:rsidRDefault="00FA6607" w:rsidP="002C520D">
      <w:pPr>
        <w:jc w:val="both"/>
        <w:rPr>
          <w:b/>
          <w:bCs/>
          <w:sz w:val="22"/>
        </w:rPr>
      </w:pPr>
    </w:p>
    <w:p w:rsidR="00FA6607" w:rsidRPr="00FA6607" w:rsidRDefault="00FA6607" w:rsidP="00FA6607">
      <w:pPr>
        <w:jc w:val="both"/>
        <w:rPr>
          <w:color w:val="auto"/>
          <w:sz w:val="22"/>
          <w:lang w:val="es-CO"/>
        </w:rPr>
      </w:pPr>
      <w:r w:rsidRPr="00FA6607">
        <w:rPr>
          <w:color w:val="auto"/>
          <w:sz w:val="22"/>
          <w:lang w:val="es-CO"/>
        </w:rPr>
        <w:t>La seguridad ciudadana es un pilar esencial para la convivencia y el desarrollo integral de cualquier sociedad, siendo un deber del Estado garantizarla conforme lo establece el artículo 2° de la Constitución Política de Colombia. En Bogotá, el crecimiento poblacional y las dinámicas urbanas han incrementado los retos en materia de prevención del delito, especialmente en áreas residenciales y comerciales. Frente a ello, los Frentes de Seguridad han emergido como un mecanismo eficaz de corresponsabilidad entre ciudadanía y autoridad, alineados con la Política Nacional de Convivencia y Seguridad Ciudadana. Este proyecto busca fortalecer dichos frentes como una estrategia articulada que promueva la participación comunitaria y la reducción del delito.</w:t>
      </w:r>
    </w:p>
    <w:p w:rsidR="00FA6607" w:rsidRPr="00FA6607" w:rsidRDefault="00FA6607" w:rsidP="00FA6607">
      <w:pPr>
        <w:jc w:val="both"/>
        <w:rPr>
          <w:color w:val="auto"/>
          <w:sz w:val="22"/>
          <w:lang w:val="es-CO"/>
        </w:rPr>
      </w:pPr>
    </w:p>
    <w:p w:rsidR="00FA6607" w:rsidRDefault="00FA6607" w:rsidP="00FA6607">
      <w:pPr>
        <w:jc w:val="both"/>
        <w:rPr>
          <w:color w:val="auto"/>
          <w:sz w:val="22"/>
          <w:lang w:val="es-CO"/>
        </w:rPr>
      </w:pPr>
      <w:r w:rsidRPr="00FA6607">
        <w:rPr>
          <w:color w:val="auto"/>
          <w:sz w:val="22"/>
          <w:lang w:val="es-CO"/>
        </w:rPr>
        <w:t>Actualmente, Bogotá cuenta con 1.986 frentes de seguridad activos y más de 46.000 ciudadanos vinculados, lo que evidencia la aceptación social de este modelo de cooperación comunitaria. Según datos de la Policía Metropolitana de Bogotá, la implementación de frentes ha contribuido a una reducción significativa en delitos de alto impacto, como hurto a personas (-22 %), hurto a residencias (-77%) y violencia intrafamiliar (-55 %). Sin embargo, su funcionamiento depende en gran medida de la coordinación entre la comunidad, la Policía Nacional y el Distrito, lo que hace necesario institucionalizar un marco que garantice su fortalecimiento, sostenibilidad y articulación.</w:t>
      </w:r>
    </w:p>
    <w:p w:rsidR="00FA6607" w:rsidRPr="00FA6607" w:rsidRDefault="00FA6607" w:rsidP="00FA6607">
      <w:pPr>
        <w:jc w:val="both"/>
        <w:rPr>
          <w:color w:val="auto"/>
          <w:sz w:val="22"/>
          <w:lang w:val="es-CO"/>
        </w:rPr>
      </w:pPr>
    </w:p>
    <w:p w:rsidR="00FA6607" w:rsidRPr="00FA6607" w:rsidRDefault="00FA6607" w:rsidP="00FA6607">
      <w:pPr>
        <w:jc w:val="both"/>
        <w:rPr>
          <w:color w:val="auto"/>
          <w:sz w:val="22"/>
          <w:lang w:val="es-CO"/>
        </w:rPr>
      </w:pPr>
      <w:r w:rsidRPr="00FA6607">
        <w:rPr>
          <w:color w:val="auto"/>
          <w:sz w:val="22"/>
          <w:lang w:val="es-CO"/>
        </w:rPr>
        <w:t>El proyecto no pretende invadir competencias exclusivas de la Policía Nacional, sino más bien complementar y fortalecer su labor preventiva a través de un modelo de corresponsabilidad institucional y comunitaria, liderado por el Distrito Capital. La propuesta se centra en que la Secretaría Distrital de Seguridad, Convivencia y Justicia, junto con las alcaldías locales, actúe como facilitador de procesos que potencien la operatividad de los Frentes de Seguridad sin modificar su naturaleza ni estructura legal. Esto implica aportar herramientas tecnológicas modernas (como sistemas de alerta temprana, botones de pánico, radios de comunicación y aplicaciones móviles), brindar capacitaciones especializadas en prevención del delito, autoprotección y derechos humanos, y diseñar planes de acompañamiento integral que incluyan seguimiento permanente y articulación con los organismos de control territorial. Así, se establece un esquema colaborativo sólido, en el que la autoridad policial conserva plenamente su liderazgo operativo y sus lineamientos nacionales, mientras que el Distrito garantiza recursos logísticos, soporte técnico y coordinación interinstitucional, fortaleciendo la confianza ciudadana y la capacidad de respuesta frente a problemáticas locales.</w:t>
      </w:r>
    </w:p>
    <w:p w:rsidR="00FA6607" w:rsidRPr="00FA6607" w:rsidRDefault="00FA6607" w:rsidP="00FA6607">
      <w:pPr>
        <w:jc w:val="both"/>
        <w:rPr>
          <w:color w:val="auto"/>
          <w:sz w:val="22"/>
          <w:lang w:val="es-CO"/>
        </w:rPr>
      </w:pPr>
    </w:p>
    <w:p w:rsidR="00FA6607" w:rsidRDefault="00FA6607" w:rsidP="00FA6607">
      <w:pPr>
        <w:jc w:val="both"/>
        <w:rPr>
          <w:color w:val="auto"/>
          <w:sz w:val="22"/>
          <w:lang w:val="es-CO"/>
        </w:rPr>
      </w:pPr>
      <w:r w:rsidRPr="00FA6607">
        <w:rPr>
          <w:color w:val="auto"/>
          <w:sz w:val="22"/>
          <w:lang w:val="es-CO"/>
        </w:rPr>
        <w:lastRenderedPageBreak/>
        <w:t xml:space="preserve">El fortalecimiento de los frentes no implica un impacto fiscal elevado, ya que se implementará con recursos ya contemplados en el Plan Distrital de Desarrollo y los presupuestos participativos locales, en concordancia con la Ley 819 de 2003. Además, esta estrategia se enmarca en programas vigentes como Redes Ciudadanas, lo que evita duplicidad y garantiza el uso eficiente de los recursos públicos. </w:t>
      </w:r>
    </w:p>
    <w:p w:rsidR="00FA6607" w:rsidRPr="00FA6607" w:rsidRDefault="00FA6607" w:rsidP="00FA6607">
      <w:pPr>
        <w:jc w:val="both"/>
        <w:rPr>
          <w:color w:val="auto"/>
          <w:sz w:val="22"/>
          <w:lang w:val="es-CO"/>
        </w:rPr>
      </w:pPr>
    </w:p>
    <w:p w:rsidR="00FA6607" w:rsidRDefault="00FA6607" w:rsidP="00FA6607">
      <w:pPr>
        <w:jc w:val="both"/>
        <w:rPr>
          <w:color w:val="auto"/>
          <w:sz w:val="22"/>
          <w:lang w:val="es-CO"/>
        </w:rPr>
      </w:pPr>
      <w:r w:rsidRPr="00FA6607">
        <w:rPr>
          <w:color w:val="auto"/>
          <w:sz w:val="22"/>
          <w:lang w:val="es-CO"/>
        </w:rPr>
        <w:t>Experiencias internacionales demuestran la efectividad de la participación ciudadana en la seguridad urbana. Programas como Neighborhood Watch en Estados Unidos han mostrado cómo el trabajo conjunto entre comunidad y autoridad reduce delitos como robo y vandalismo en áreas residenciales. De igual forma, en países latinoamericanos como México y Chile, los comités vecinales coordinados con la policía han sido fundamentales para la prevención del crimen. Estas referencias respaldan la pertinencia del proyecto en Bogotá, donde la corresponsabilidad social es clave ante el incremento de fenómenos delictivos.</w:t>
      </w:r>
    </w:p>
    <w:p w:rsidR="00FA6607" w:rsidRPr="00FA6607" w:rsidRDefault="00FA6607" w:rsidP="00FA6607">
      <w:pPr>
        <w:jc w:val="both"/>
        <w:rPr>
          <w:color w:val="auto"/>
          <w:sz w:val="22"/>
          <w:lang w:val="es-CO"/>
        </w:rPr>
      </w:pPr>
    </w:p>
    <w:p w:rsidR="00FA6607" w:rsidRPr="00FA6607" w:rsidRDefault="00FA6607" w:rsidP="00FA6607">
      <w:pPr>
        <w:jc w:val="both"/>
        <w:rPr>
          <w:color w:val="auto"/>
          <w:sz w:val="22"/>
          <w:lang w:val="es-CO"/>
        </w:rPr>
      </w:pPr>
      <w:r w:rsidRPr="00FA6607">
        <w:rPr>
          <w:color w:val="auto"/>
          <w:sz w:val="22"/>
          <w:lang w:val="es-CO"/>
        </w:rPr>
        <w:t>El marco jurídico colombiano respalda la implementación de este tipo de estrategias, bajo principios de corresponsabilidad entre el Estado y los ciudadanos en materia de seguridad, consagrados en la Ley 1801 de 2016 (Código Nacional de Policía y Convivencia). Esto implica que, si bien el Concejo no puede asumir funciones operativas propias de la Policía Nacional ni modificar su estructura, sí está plenamente habilitado para establecer lineamientos normativos y programas de fortalecimiento institucional, orientados a respaldar los Frentes de Seguridad mediante el apoyo técnico y logístico del Distrito, en armonía con la normatividad nacional. Esta intervención normativa, complementaria y no sustitutiva, permite al Concejo promover esquemas de colaboración interinstitucional y optimización de recursos, sin transgredir la autonomía funcional de la Policía.</w:t>
      </w:r>
    </w:p>
    <w:p w:rsidR="00FA6607" w:rsidRPr="00FA6607" w:rsidRDefault="00FA6607" w:rsidP="00FA6607">
      <w:pPr>
        <w:jc w:val="both"/>
        <w:rPr>
          <w:color w:val="auto"/>
          <w:sz w:val="22"/>
          <w:lang w:val="es-CO"/>
        </w:rPr>
      </w:pPr>
      <w:r w:rsidRPr="00FA6607">
        <w:rPr>
          <w:color w:val="auto"/>
          <w:sz w:val="22"/>
          <w:lang w:val="es-CO"/>
        </w:rPr>
        <w:t>Desde un enfoque social, la consolidación de los Frentes de Seguridad fortalece el tejido comunitario y promueve la cultura de la legalidad, aspectos esenciales para la convivencia. Al generar redes de confianza entre vecinos, se mejora la percepción de seguridad y se disminuye la sensación de aislamiento que facilita la ocurrencia de delitos. Esto también se alinea con los Objetivos de Desarrollo Sostenible (ODS) 11 y 16, que promueven comunidades seguras y pacíficas.</w:t>
      </w:r>
    </w:p>
    <w:p w:rsidR="00FA6607" w:rsidRPr="00FA6607" w:rsidRDefault="00FA6607" w:rsidP="00FA6607">
      <w:pPr>
        <w:jc w:val="both"/>
        <w:rPr>
          <w:color w:val="auto"/>
          <w:sz w:val="22"/>
          <w:lang w:val="es-CO"/>
        </w:rPr>
      </w:pPr>
    </w:p>
    <w:p w:rsidR="00FA6607" w:rsidRPr="00FA6607" w:rsidRDefault="00FA6607" w:rsidP="00FA6607">
      <w:pPr>
        <w:jc w:val="both"/>
        <w:rPr>
          <w:color w:val="auto"/>
          <w:sz w:val="22"/>
          <w:lang w:val="es-CO"/>
        </w:rPr>
      </w:pPr>
      <w:r w:rsidRPr="00FA6607">
        <w:rPr>
          <w:color w:val="auto"/>
          <w:sz w:val="22"/>
          <w:lang w:val="es-CO"/>
        </w:rPr>
        <w:t>Las alcaldías locales juegan un papel crucial en la implementación de los frentes, pues son las encargadas de ejecutar proyectos de seguridad ciudadana en sus territorios, en articulación con la Secretaría Distrital de Seguridad y la Policía. El fortalecimiento propuesto permitirá que las alcaldías cuenten con herramientas claras para destinar recursos y priorizar acciones conjuntas, evitando esfuerzos aislados o poco coordinados. Este modelo de trabajo interinstitucional genera mayor efectividad y legitimidad en la gestión pública.</w:t>
      </w:r>
    </w:p>
    <w:p w:rsidR="00FA6607" w:rsidRPr="00FA6607" w:rsidRDefault="00FA6607" w:rsidP="00FA6607">
      <w:pPr>
        <w:jc w:val="both"/>
        <w:rPr>
          <w:color w:val="auto"/>
          <w:sz w:val="22"/>
          <w:lang w:val="es-CO"/>
        </w:rPr>
      </w:pPr>
    </w:p>
    <w:p w:rsidR="00FA6607" w:rsidRPr="00FA6607" w:rsidRDefault="00FA6607" w:rsidP="00FA6607">
      <w:pPr>
        <w:jc w:val="both"/>
        <w:rPr>
          <w:color w:val="auto"/>
          <w:sz w:val="22"/>
          <w:lang w:val="es-CO"/>
        </w:rPr>
      </w:pPr>
      <w:r w:rsidRPr="00FA6607">
        <w:rPr>
          <w:color w:val="auto"/>
          <w:sz w:val="22"/>
          <w:lang w:val="es-CO"/>
        </w:rPr>
        <w:t>Es fundamental que el proyecto incluya mecanismos de seguimiento y evaluación, con indicadores de resultado como el número de frentes activos, el nivel de participación comunitaria, la reducción de delitos y la percepción ciudadana de seguridad. Estos parámetros permitirán medir el impacto real de la política y ajustar las estrategias en el tiempo. De esta manera, se garantiza que la inversión de recursos tenga un retorno tangible en términos de seguridad y convivencia.</w:t>
      </w:r>
    </w:p>
    <w:p w:rsidR="00FA6607" w:rsidRPr="00FA6607" w:rsidRDefault="00FA6607" w:rsidP="00FA6607">
      <w:pPr>
        <w:jc w:val="both"/>
        <w:rPr>
          <w:color w:val="auto"/>
          <w:sz w:val="22"/>
          <w:lang w:val="es-CO"/>
        </w:rPr>
      </w:pPr>
    </w:p>
    <w:p w:rsidR="00772E37" w:rsidRDefault="00FA6607" w:rsidP="00FA6607">
      <w:pPr>
        <w:jc w:val="both"/>
        <w:rPr>
          <w:color w:val="auto"/>
          <w:sz w:val="22"/>
          <w:lang w:val="es-CO"/>
        </w:rPr>
      </w:pPr>
      <w:r w:rsidRPr="00FA6607">
        <w:rPr>
          <w:color w:val="auto"/>
          <w:sz w:val="22"/>
          <w:lang w:val="es-CO"/>
        </w:rPr>
        <w:t xml:space="preserve">En conclusión, el fortalecimiento de los Frentes de Seguridad es una estrategia integral y viable que promueve la corresponsabilidad social, la prevención del delito y la articulación </w:t>
      </w:r>
      <w:r w:rsidRPr="00FA6607">
        <w:rPr>
          <w:color w:val="auto"/>
          <w:sz w:val="22"/>
          <w:lang w:val="es-CO"/>
        </w:rPr>
        <w:lastRenderedPageBreak/>
        <w:t>interinstitucional. Con ajustes normativos que garanticen respeto a las competencias de la Policía Nacional y claridad sobre la disponibilidad presupuestal, el proyecto se constituye en una herramienta clave para mejorar la seguridad en Bogotá. Su aprobación permitirá consolidar un modelo de seguridad colaborativa, eficiente y sostenible, en beneficio de todos los ciudadanos.</w:t>
      </w:r>
    </w:p>
    <w:p w:rsidR="00EE6AB2" w:rsidRDefault="00EE6AB2" w:rsidP="00FA6607">
      <w:pPr>
        <w:jc w:val="both"/>
        <w:rPr>
          <w:color w:val="auto"/>
          <w:sz w:val="22"/>
          <w:lang w:val="es-CO"/>
        </w:rPr>
      </w:pPr>
    </w:p>
    <w:p w:rsidR="00EE6AB2" w:rsidRDefault="00EE6AB2" w:rsidP="00FA6607">
      <w:pPr>
        <w:jc w:val="both"/>
        <w:rPr>
          <w:color w:val="auto"/>
          <w:sz w:val="22"/>
          <w:lang w:val="es-CO"/>
        </w:rPr>
      </w:pPr>
      <w:r>
        <w:rPr>
          <w:color w:val="auto"/>
          <w:sz w:val="22"/>
          <w:lang w:val="es-CO"/>
        </w:rPr>
        <w:t>No obstante, y en aras de salvaguardar la esencia de los distintos autores, se presentan unas modificaciones que reconocen los avances de la estrategia de frentes de seguridad e incluye los aspectos propositivos de las dos iniciativas.</w:t>
      </w:r>
    </w:p>
    <w:p w:rsidR="00FA6607" w:rsidRDefault="00FA6607" w:rsidP="00FA6607">
      <w:pPr>
        <w:jc w:val="both"/>
        <w:rPr>
          <w:sz w:val="22"/>
        </w:rPr>
      </w:pPr>
    </w:p>
    <w:p w:rsidR="00772E37" w:rsidRPr="00EC5E14" w:rsidRDefault="00772E37" w:rsidP="00772E37">
      <w:pPr>
        <w:jc w:val="both"/>
        <w:rPr>
          <w:b/>
          <w:sz w:val="22"/>
        </w:rPr>
      </w:pPr>
      <w:r w:rsidRPr="00EC5E14">
        <w:rPr>
          <w:b/>
          <w:sz w:val="22"/>
        </w:rPr>
        <w:t>CONCLUSIONES</w:t>
      </w:r>
    </w:p>
    <w:p w:rsidR="00772E37" w:rsidRDefault="00772E37" w:rsidP="00772E37">
      <w:pPr>
        <w:jc w:val="both"/>
        <w:rPr>
          <w:sz w:val="22"/>
        </w:rPr>
      </w:pPr>
    </w:p>
    <w:p w:rsidR="00FA6607" w:rsidRDefault="00772E37" w:rsidP="00772E37">
      <w:pPr>
        <w:jc w:val="both"/>
        <w:rPr>
          <w:rFonts w:cs="Arial"/>
          <w:sz w:val="22"/>
          <w:szCs w:val="22"/>
        </w:rPr>
      </w:pPr>
      <w:r>
        <w:rPr>
          <w:rFonts w:cs="Arial"/>
          <w:sz w:val="22"/>
          <w:szCs w:val="22"/>
          <w:shd w:val="clear" w:color="auto" w:fill="FFFFFF"/>
        </w:rPr>
        <w:t xml:space="preserve">Teniendo en cuenta las consideraciones planteadas y los argumentos sostenidos, </w:t>
      </w:r>
      <w:r>
        <w:rPr>
          <w:rFonts w:cs="Arial"/>
          <w:sz w:val="22"/>
          <w:szCs w:val="22"/>
        </w:rPr>
        <w:t xml:space="preserve">nos permitimos rendir </w:t>
      </w:r>
      <w:r>
        <w:rPr>
          <w:rFonts w:cs="Arial"/>
          <w:b/>
          <w:bCs/>
          <w:sz w:val="22"/>
          <w:szCs w:val="22"/>
        </w:rPr>
        <w:t>PONENCIA POSITIVA</w:t>
      </w:r>
      <w:r w:rsidR="00FA6607">
        <w:rPr>
          <w:rFonts w:cs="Arial"/>
          <w:b/>
          <w:bCs/>
          <w:sz w:val="22"/>
          <w:szCs w:val="22"/>
        </w:rPr>
        <w:t xml:space="preserve"> CON MODIFICACIONES </w:t>
      </w:r>
      <w:r>
        <w:rPr>
          <w:rFonts w:cs="Arial"/>
          <w:sz w:val="22"/>
          <w:szCs w:val="22"/>
        </w:rPr>
        <w:t>a</w:t>
      </w:r>
      <w:r w:rsidR="00FA6607">
        <w:rPr>
          <w:rFonts w:cs="Arial"/>
          <w:sz w:val="22"/>
          <w:szCs w:val="22"/>
        </w:rPr>
        <w:t xml:space="preserve"> </w:t>
      </w:r>
      <w:r>
        <w:rPr>
          <w:rFonts w:cs="Arial"/>
          <w:sz w:val="22"/>
          <w:szCs w:val="22"/>
        </w:rPr>
        <w:t>l</w:t>
      </w:r>
      <w:r w:rsidR="00FA6607">
        <w:rPr>
          <w:rFonts w:cs="Arial"/>
          <w:sz w:val="22"/>
          <w:szCs w:val="22"/>
        </w:rPr>
        <w:t>os</w:t>
      </w:r>
      <w:r>
        <w:rPr>
          <w:rFonts w:cs="Arial"/>
          <w:sz w:val="22"/>
          <w:szCs w:val="22"/>
        </w:rPr>
        <w:t xml:space="preserve"> Proyecto</w:t>
      </w:r>
      <w:r w:rsidR="00FA6607">
        <w:rPr>
          <w:rFonts w:cs="Arial"/>
          <w:sz w:val="22"/>
          <w:szCs w:val="22"/>
        </w:rPr>
        <w:t>s</w:t>
      </w:r>
      <w:r>
        <w:rPr>
          <w:rFonts w:cs="Arial"/>
          <w:sz w:val="22"/>
          <w:szCs w:val="22"/>
        </w:rPr>
        <w:t xml:space="preserve"> de Acuerdo </w:t>
      </w:r>
      <w:r w:rsidR="00FA6607" w:rsidRPr="00FA6607">
        <w:rPr>
          <w:rFonts w:cs="Arial"/>
          <w:b/>
          <w:sz w:val="22"/>
          <w:szCs w:val="22"/>
        </w:rPr>
        <w:t>559 de 2025</w:t>
      </w:r>
      <w:r w:rsidR="00FA6607" w:rsidRPr="00FA6607">
        <w:rPr>
          <w:rFonts w:cs="Arial"/>
          <w:sz w:val="22"/>
          <w:szCs w:val="22"/>
        </w:rPr>
        <w:t>, "</w:t>
      </w:r>
      <w:r w:rsidR="00FA6607" w:rsidRPr="00FA6607">
        <w:rPr>
          <w:rFonts w:cs="Arial"/>
          <w:i/>
          <w:sz w:val="22"/>
          <w:szCs w:val="22"/>
        </w:rPr>
        <w:t>Por medio del cual se crean e implementan frentes de seguridad y/o zonas seguras en los puntos críticos que afectan a la convivencia y la seguridad en Bogotá y se dictan otras disposiciones</w:t>
      </w:r>
      <w:r w:rsidR="00FA6607" w:rsidRPr="00FA6607">
        <w:rPr>
          <w:rFonts w:cs="Arial"/>
          <w:sz w:val="22"/>
          <w:szCs w:val="22"/>
        </w:rPr>
        <w:t xml:space="preserve">” y </w:t>
      </w:r>
      <w:r w:rsidR="00FA6607" w:rsidRPr="00FA6607">
        <w:rPr>
          <w:rFonts w:cs="Arial"/>
          <w:b/>
          <w:sz w:val="22"/>
          <w:szCs w:val="22"/>
        </w:rPr>
        <w:t>692 de 2025</w:t>
      </w:r>
      <w:r w:rsidR="00FA6607" w:rsidRPr="00FA6607">
        <w:rPr>
          <w:rFonts w:cs="Arial"/>
          <w:sz w:val="22"/>
          <w:szCs w:val="22"/>
        </w:rPr>
        <w:t>, “</w:t>
      </w:r>
      <w:r w:rsidR="00FA6607" w:rsidRPr="00FA6607">
        <w:rPr>
          <w:rFonts w:cs="Arial"/>
          <w:i/>
          <w:sz w:val="22"/>
          <w:szCs w:val="22"/>
        </w:rPr>
        <w:t>Por medio del cual se establecen medidas para el fortalecimiento de los frentes de seguridad en la ciudad de Bogotá</w:t>
      </w:r>
      <w:r w:rsidR="00FA6607" w:rsidRPr="00FA6607">
        <w:rPr>
          <w:rFonts w:cs="Arial"/>
          <w:sz w:val="22"/>
          <w:szCs w:val="22"/>
        </w:rPr>
        <w:t xml:space="preserve">”, acumulados por unidad de materia </w:t>
      </w:r>
    </w:p>
    <w:p w:rsidR="00FA6607" w:rsidRDefault="00FA6607" w:rsidP="00772E37">
      <w:pPr>
        <w:jc w:val="both"/>
        <w:rPr>
          <w:rFonts w:cs="Arial"/>
          <w:sz w:val="22"/>
          <w:szCs w:val="22"/>
        </w:rPr>
      </w:pPr>
    </w:p>
    <w:p w:rsidR="00B574ED" w:rsidRDefault="00B574ED" w:rsidP="00772E37">
      <w:pPr>
        <w:jc w:val="both"/>
        <w:rPr>
          <w:rFonts w:cs="Arial"/>
          <w:sz w:val="22"/>
          <w:szCs w:val="22"/>
        </w:rPr>
      </w:pPr>
      <w:r>
        <w:rPr>
          <w:rFonts w:cs="Arial"/>
          <w:sz w:val="22"/>
          <w:szCs w:val="22"/>
        </w:rPr>
        <w:t xml:space="preserve">Atentamente, </w:t>
      </w:r>
    </w:p>
    <w:p w:rsidR="00B574ED" w:rsidRDefault="00B574ED" w:rsidP="00772E37">
      <w:pPr>
        <w:jc w:val="both"/>
        <w:rPr>
          <w:rFonts w:cs="Arial"/>
          <w:sz w:val="22"/>
          <w:szCs w:val="22"/>
        </w:rPr>
      </w:pPr>
    </w:p>
    <w:p w:rsidR="00B574ED" w:rsidRDefault="00B574ED" w:rsidP="00772E37">
      <w:pPr>
        <w:jc w:val="both"/>
        <w:rPr>
          <w:rFonts w:cs="Arial"/>
          <w:sz w:val="22"/>
          <w:szCs w:val="22"/>
        </w:rPr>
      </w:pPr>
    </w:p>
    <w:p w:rsidR="00B574ED" w:rsidRPr="00496712" w:rsidRDefault="00B574ED" w:rsidP="00772E37">
      <w:pPr>
        <w:jc w:val="both"/>
        <w:rPr>
          <w:rFonts w:cs="Arial"/>
          <w:b/>
          <w:sz w:val="22"/>
          <w:szCs w:val="22"/>
        </w:rPr>
      </w:pPr>
    </w:p>
    <w:p w:rsidR="00B574ED" w:rsidRPr="00496712" w:rsidRDefault="00B574ED" w:rsidP="00772E37">
      <w:pPr>
        <w:jc w:val="both"/>
        <w:rPr>
          <w:rFonts w:cs="Arial"/>
          <w:b/>
          <w:szCs w:val="22"/>
        </w:rPr>
      </w:pPr>
    </w:p>
    <w:p w:rsidR="00B574ED" w:rsidRPr="00496712" w:rsidRDefault="00B574ED" w:rsidP="00B574ED">
      <w:pPr>
        <w:jc w:val="both"/>
        <w:rPr>
          <w:b/>
          <w:sz w:val="22"/>
        </w:rPr>
      </w:pPr>
      <w:r w:rsidRPr="00496712">
        <w:rPr>
          <w:b/>
          <w:sz w:val="22"/>
        </w:rPr>
        <w:t>GERMÁN AUGUSTO GARCÍA MAYA</w:t>
      </w:r>
      <w:r w:rsidR="00EC5E14" w:rsidRPr="00496712">
        <w:rPr>
          <w:b/>
          <w:sz w:val="22"/>
        </w:rPr>
        <w:tab/>
      </w:r>
      <w:r w:rsidR="00EC5E14" w:rsidRPr="00496712">
        <w:rPr>
          <w:b/>
          <w:sz w:val="22"/>
        </w:rPr>
        <w:tab/>
      </w:r>
    </w:p>
    <w:p w:rsidR="00B574ED" w:rsidRPr="00B574ED" w:rsidRDefault="00B574ED" w:rsidP="00B574ED">
      <w:pPr>
        <w:jc w:val="both"/>
        <w:rPr>
          <w:sz w:val="22"/>
        </w:rPr>
      </w:pPr>
      <w:r w:rsidRPr="00B574ED">
        <w:rPr>
          <w:sz w:val="22"/>
        </w:rPr>
        <w:t>Concejal de Bogotá, D. C.</w:t>
      </w:r>
      <w:r w:rsidRPr="00B574ED">
        <w:rPr>
          <w:sz w:val="22"/>
        </w:rPr>
        <w:tab/>
      </w:r>
      <w:r w:rsidRPr="00B574ED">
        <w:rPr>
          <w:sz w:val="22"/>
        </w:rPr>
        <w:tab/>
      </w:r>
      <w:r w:rsidRPr="00B574ED">
        <w:rPr>
          <w:sz w:val="22"/>
        </w:rPr>
        <w:tab/>
      </w:r>
      <w:r w:rsidRPr="00B574ED">
        <w:rPr>
          <w:sz w:val="22"/>
        </w:rPr>
        <w:tab/>
      </w:r>
    </w:p>
    <w:p w:rsidR="00EC5E14" w:rsidRPr="00B574ED" w:rsidRDefault="00EC5E14" w:rsidP="00EC5E14">
      <w:pPr>
        <w:jc w:val="both"/>
        <w:rPr>
          <w:sz w:val="22"/>
        </w:rPr>
      </w:pPr>
      <w:r>
        <w:rPr>
          <w:sz w:val="22"/>
        </w:rPr>
        <w:t xml:space="preserve">Coordinador </w:t>
      </w:r>
      <w:r w:rsidR="00B574ED" w:rsidRPr="00B574ED">
        <w:rPr>
          <w:sz w:val="22"/>
        </w:rPr>
        <w:t>Ponente</w:t>
      </w:r>
      <w:r>
        <w:rPr>
          <w:sz w:val="22"/>
        </w:rPr>
        <w:tab/>
      </w:r>
      <w:r>
        <w:rPr>
          <w:sz w:val="22"/>
        </w:rPr>
        <w:tab/>
      </w:r>
      <w:r>
        <w:rPr>
          <w:sz w:val="22"/>
        </w:rPr>
        <w:tab/>
      </w:r>
      <w:r>
        <w:rPr>
          <w:sz w:val="22"/>
        </w:rPr>
        <w:tab/>
      </w:r>
      <w:r>
        <w:rPr>
          <w:sz w:val="22"/>
        </w:rPr>
        <w:tab/>
      </w:r>
    </w:p>
    <w:p w:rsidR="00EE6AB2" w:rsidRDefault="00B574ED" w:rsidP="00B574ED">
      <w:pPr>
        <w:jc w:val="both"/>
        <w:rPr>
          <w:sz w:val="22"/>
        </w:rPr>
      </w:pPr>
      <w:r w:rsidRPr="00B574ED">
        <w:rPr>
          <w:sz w:val="22"/>
        </w:rPr>
        <w:t>Partido Liberal Colombiano</w:t>
      </w:r>
      <w:r w:rsidR="00EC5E14">
        <w:rPr>
          <w:sz w:val="22"/>
        </w:rPr>
        <w:tab/>
      </w:r>
      <w:r w:rsidR="00EC5E14">
        <w:rPr>
          <w:sz w:val="22"/>
        </w:rPr>
        <w:tab/>
      </w:r>
    </w:p>
    <w:p w:rsidR="00EE6AB2" w:rsidRDefault="00EE6AB2" w:rsidP="00B574ED">
      <w:pPr>
        <w:jc w:val="both"/>
        <w:rPr>
          <w:sz w:val="22"/>
        </w:rPr>
      </w:pPr>
    </w:p>
    <w:p w:rsidR="00EE6AB2" w:rsidRDefault="00EE6AB2" w:rsidP="00B574ED">
      <w:pPr>
        <w:jc w:val="both"/>
        <w:rPr>
          <w:sz w:val="22"/>
        </w:rPr>
      </w:pPr>
    </w:p>
    <w:p w:rsidR="00EE6AB2" w:rsidRDefault="00EE6AB2" w:rsidP="00B574ED">
      <w:pPr>
        <w:jc w:val="both"/>
        <w:rPr>
          <w:sz w:val="22"/>
        </w:rPr>
      </w:pPr>
    </w:p>
    <w:p w:rsidR="00EE6AB2" w:rsidRDefault="00EE6AB2" w:rsidP="00B574ED">
      <w:pPr>
        <w:jc w:val="both"/>
        <w:rPr>
          <w:sz w:val="22"/>
        </w:rPr>
      </w:pPr>
    </w:p>
    <w:p w:rsidR="00EE6AB2" w:rsidRDefault="00EE6AB2" w:rsidP="00B574ED">
      <w:pPr>
        <w:jc w:val="both"/>
        <w:rPr>
          <w:sz w:val="22"/>
        </w:rPr>
      </w:pPr>
    </w:p>
    <w:p w:rsidR="00EE6AB2" w:rsidRDefault="00EE6AB2" w:rsidP="00B574ED">
      <w:pPr>
        <w:jc w:val="both"/>
        <w:rPr>
          <w:sz w:val="22"/>
        </w:rPr>
      </w:pPr>
    </w:p>
    <w:p w:rsidR="00EE6AB2" w:rsidRDefault="00EE6AB2" w:rsidP="00B574ED">
      <w:pPr>
        <w:jc w:val="both"/>
        <w:rPr>
          <w:sz w:val="22"/>
        </w:rPr>
      </w:pPr>
    </w:p>
    <w:p w:rsidR="00EE6AB2" w:rsidRDefault="00EE6AB2" w:rsidP="00B574ED">
      <w:pPr>
        <w:jc w:val="both"/>
        <w:rPr>
          <w:sz w:val="22"/>
        </w:rPr>
      </w:pPr>
    </w:p>
    <w:p w:rsidR="00EE6AB2" w:rsidRDefault="00EE6AB2" w:rsidP="00B574ED">
      <w:pPr>
        <w:jc w:val="both"/>
        <w:rPr>
          <w:sz w:val="22"/>
        </w:rPr>
      </w:pPr>
    </w:p>
    <w:p w:rsidR="00EE6AB2" w:rsidRDefault="00EE6AB2" w:rsidP="00B574ED">
      <w:pPr>
        <w:jc w:val="both"/>
        <w:rPr>
          <w:sz w:val="22"/>
        </w:rPr>
      </w:pPr>
    </w:p>
    <w:p w:rsidR="00EE6AB2" w:rsidRDefault="00EE6AB2" w:rsidP="00B574ED">
      <w:pPr>
        <w:jc w:val="both"/>
        <w:rPr>
          <w:sz w:val="22"/>
        </w:rPr>
      </w:pPr>
    </w:p>
    <w:p w:rsidR="00EE6AB2" w:rsidRDefault="00EE6AB2" w:rsidP="00B574ED">
      <w:pPr>
        <w:jc w:val="both"/>
        <w:rPr>
          <w:sz w:val="22"/>
        </w:rPr>
      </w:pPr>
    </w:p>
    <w:p w:rsidR="00EE6AB2" w:rsidRDefault="00EE6AB2" w:rsidP="00B574ED">
      <w:pPr>
        <w:jc w:val="both"/>
        <w:rPr>
          <w:sz w:val="22"/>
        </w:rPr>
      </w:pPr>
    </w:p>
    <w:p w:rsidR="00EE6AB2" w:rsidRDefault="00EE6AB2" w:rsidP="00B574ED">
      <w:pPr>
        <w:jc w:val="both"/>
        <w:rPr>
          <w:sz w:val="22"/>
        </w:rPr>
      </w:pPr>
      <w:bookmarkStart w:id="0" w:name="_GoBack"/>
      <w:bookmarkEnd w:id="0"/>
    </w:p>
    <w:p w:rsidR="00EE6AB2" w:rsidRDefault="00EE6AB2" w:rsidP="00B574ED">
      <w:pPr>
        <w:jc w:val="both"/>
        <w:rPr>
          <w:sz w:val="22"/>
        </w:rPr>
      </w:pPr>
    </w:p>
    <w:p w:rsidR="00B574ED" w:rsidRPr="00B574ED" w:rsidRDefault="00EC5E14" w:rsidP="00B574ED">
      <w:pPr>
        <w:jc w:val="both"/>
        <w:rPr>
          <w:sz w:val="22"/>
        </w:rPr>
      </w:pPr>
      <w:r>
        <w:rPr>
          <w:sz w:val="22"/>
        </w:rPr>
        <w:tab/>
      </w:r>
      <w:r>
        <w:rPr>
          <w:sz w:val="22"/>
        </w:rPr>
        <w:tab/>
      </w:r>
    </w:p>
    <w:p w:rsidR="00772E37" w:rsidRDefault="00772E37" w:rsidP="002C520D">
      <w:pPr>
        <w:jc w:val="both"/>
        <w:rPr>
          <w:bCs/>
          <w:sz w:val="22"/>
        </w:rPr>
      </w:pPr>
    </w:p>
    <w:p w:rsidR="00772E37" w:rsidRDefault="00772E37" w:rsidP="002C520D">
      <w:pPr>
        <w:jc w:val="both"/>
        <w:rPr>
          <w:bCs/>
          <w:sz w:val="22"/>
        </w:rPr>
      </w:pPr>
    </w:p>
    <w:p w:rsidR="00FA6607" w:rsidRDefault="00FA6607" w:rsidP="00FA6607">
      <w:pPr>
        <w:jc w:val="center"/>
        <w:rPr>
          <w:b/>
          <w:bCs/>
          <w:sz w:val="22"/>
        </w:rPr>
      </w:pPr>
      <w:r w:rsidRPr="00FA6607">
        <w:rPr>
          <w:b/>
          <w:bCs/>
          <w:sz w:val="22"/>
        </w:rPr>
        <w:lastRenderedPageBreak/>
        <w:t>ANEXO. PLIEGO DE MODIFICACIONES</w:t>
      </w:r>
    </w:p>
    <w:p w:rsidR="00EE6AB2" w:rsidRPr="00EE6AB2" w:rsidRDefault="00EE6AB2" w:rsidP="00FA6607">
      <w:pPr>
        <w:jc w:val="center"/>
        <w:rPr>
          <w:b/>
          <w:bCs/>
          <w:sz w:val="22"/>
        </w:rPr>
      </w:pPr>
    </w:p>
    <w:p w:rsidR="00EE6AB2" w:rsidRPr="00EE6AB2" w:rsidRDefault="00EE6AB2" w:rsidP="00EE6AB2">
      <w:pPr>
        <w:jc w:val="center"/>
        <w:rPr>
          <w:b/>
          <w:bCs/>
          <w:sz w:val="22"/>
        </w:rPr>
      </w:pPr>
      <w:r w:rsidRPr="00EE6AB2">
        <w:rPr>
          <w:b/>
          <w:bCs/>
          <w:sz w:val="22"/>
        </w:rPr>
        <w:t>PROYECTO DE ACUERDO No. ___ DE 2025</w:t>
      </w:r>
    </w:p>
    <w:p w:rsidR="00EE6AB2" w:rsidRPr="00EE6AB2" w:rsidRDefault="00EE6AB2" w:rsidP="00EE6AB2">
      <w:pPr>
        <w:jc w:val="center"/>
        <w:rPr>
          <w:bCs/>
          <w:i/>
          <w:sz w:val="20"/>
        </w:rPr>
      </w:pPr>
      <w:r w:rsidRPr="00EE6AB2">
        <w:rPr>
          <w:bCs/>
          <w:sz w:val="20"/>
        </w:rPr>
        <w:t>“</w:t>
      </w:r>
      <w:r w:rsidRPr="00EE6AB2">
        <w:rPr>
          <w:bCs/>
          <w:i/>
          <w:sz w:val="20"/>
        </w:rPr>
        <w:t>Por medio del cual se incentiva la creación, implementación o fortalecimiento de frentes de seguridad o zonas seguras en Bogotá, especialmente en los puntos críticos donde se ven afectadas la convivencia y la seguridad ciudadana, y se dictan otras disposiciones.”</w:t>
      </w:r>
    </w:p>
    <w:p w:rsidR="00EE6AB2" w:rsidRPr="00EE6AB2" w:rsidRDefault="00EE6AB2" w:rsidP="00EE6AB2">
      <w:pPr>
        <w:jc w:val="center"/>
        <w:rPr>
          <w:bCs/>
          <w:sz w:val="22"/>
        </w:rPr>
      </w:pPr>
    </w:p>
    <w:p w:rsidR="00EE6AB2" w:rsidRDefault="00EE6AB2" w:rsidP="00EE6AB2">
      <w:pPr>
        <w:jc w:val="center"/>
        <w:rPr>
          <w:b/>
          <w:bCs/>
          <w:sz w:val="22"/>
        </w:rPr>
      </w:pPr>
      <w:r w:rsidRPr="00EE6AB2">
        <w:rPr>
          <w:b/>
          <w:bCs/>
          <w:sz w:val="22"/>
        </w:rPr>
        <w:t>EL CONCEJO DE BOGOTÁ D.C.</w:t>
      </w:r>
    </w:p>
    <w:p w:rsidR="00EE6AB2" w:rsidRPr="00EE6AB2" w:rsidRDefault="00EE6AB2" w:rsidP="00EE6AB2">
      <w:pPr>
        <w:jc w:val="center"/>
        <w:rPr>
          <w:b/>
          <w:bCs/>
          <w:sz w:val="22"/>
        </w:rPr>
      </w:pPr>
    </w:p>
    <w:p w:rsidR="00EE6AB2" w:rsidRDefault="00EE6AB2" w:rsidP="00EE6AB2">
      <w:pPr>
        <w:jc w:val="center"/>
        <w:rPr>
          <w:bCs/>
          <w:sz w:val="22"/>
        </w:rPr>
      </w:pPr>
      <w:r w:rsidRPr="00EE6AB2">
        <w:rPr>
          <w:bCs/>
          <w:sz w:val="22"/>
        </w:rPr>
        <w:t>En ejercicio de sus facultades constitucionales y legales, en especial las conferidas por los numerales 1 y 7 del artículo 12 del Decreto Ley 1421 de 1993,</w:t>
      </w:r>
    </w:p>
    <w:p w:rsidR="00EE6AB2" w:rsidRPr="00EE6AB2" w:rsidRDefault="00EE6AB2" w:rsidP="00EE6AB2">
      <w:pPr>
        <w:jc w:val="center"/>
        <w:rPr>
          <w:bCs/>
          <w:sz w:val="22"/>
        </w:rPr>
      </w:pPr>
    </w:p>
    <w:p w:rsidR="00EE6AB2" w:rsidRPr="00EE6AB2" w:rsidRDefault="00EE6AB2" w:rsidP="00EE6AB2">
      <w:pPr>
        <w:jc w:val="center"/>
        <w:rPr>
          <w:b/>
          <w:bCs/>
          <w:sz w:val="22"/>
        </w:rPr>
      </w:pPr>
      <w:r w:rsidRPr="00EE6AB2">
        <w:rPr>
          <w:b/>
          <w:bCs/>
          <w:sz w:val="22"/>
        </w:rPr>
        <w:t>ACUERDA</w:t>
      </w:r>
    </w:p>
    <w:p w:rsidR="00EE6AB2" w:rsidRDefault="00EE6AB2" w:rsidP="00EE6AB2">
      <w:pPr>
        <w:jc w:val="both"/>
        <w:rPr>
          <w:bCs/>
          <w:sz w:val="22"/>
        </w:rPr>
      </w:pPr>
      <w:r w:rsidRPr="00EE6AB2">
        <w:rPr>
          <w:b/>
          <w:bCs/>
          <w:sz w:val="22"/>
        </w:rPr>
        <w:t>Artículo 1.</w:t>
      </w:r>
      <w:r w:rsidRPr="00EE6AB2">
        <w:rPr>
          <w:bCs/>
          <w:sz w:val="22"/>
        </w:rPr>
        <w:t xml:space="preserve"> </w:t>
      </w:r>
      <w:r w:rsidRPr="00EE6AB2">
        <w:rPr>
          <w:b/>
          <w:bCs/>
          <w:sz w:val="22"/>
        </w:rPr>
        <w:t>Objeto.</w:t>
      </w:r>
      <w:r w:rsidRPr="00EE6AB2">
        <w:rPr>
          <w:bCs/>
          <w:sz w:val="22"/>
        </w:rPr>
        <w:t xml:space="preserve"> El presente Acuerdo tiene por objeto incentivar la creación, implementación o fortalecimiento de Frentes de Seguridad o Zonas Seguras en Bogotá, especialmente en los puntos críticos donde se ven afectadas la convivencia y la seguridad ciudadana, así como promover medidas para la organización y reforzamiento tecnológico de los ya existentes en la ciudad.</w:t>
      </w:r>
    </w:p>
    <w:p w:rsidR="00EE6AB2" w:rsidRPr="00EE6AB2" w:rsidRDefault="00EE6AB2" w:rsidP="00EE6AB2">
      <w:pPr>
        <w:jc w:val="both"/>
        <w:rPr>
          <w:bCs/>
          <w:sz w:val="22"/>
        </w:rPr>
      </w:pPr>
    </w:p>
    <w:p w:rsidR="00EE6AB2" w:rsidRDefault="00EE6AB2" w:rsidP="00EE6AB2">
      <w:pPr>
        <w:jc w:val="both"/>
        <w:rPr>
          <w:bCs/>
          <w:sz w:val="22"/>
        </w:rPr>
      </w:pPr>
      <w:r w:rsidRPr="00EE6AB2">
        <w:rPr>
          <w:bCs/>
          <w:sz w:val="22"/>
        </w:rPr>
        <w:t>Con ello se busca consolidar la participación comunitaria en articulación con la Administración Distrital, mejorar la convivencia y la percepción de seguridad, y garantizar la sostenibilidad de estas instancias mediante herramientas tecnológicas, programas de capacitación y un marco institucional eficaz.</w:t>
      </w:r>
    </w:p>
    <w:p w:rsidR="00EE6AB2" w:rsidRPr="00EE6AB2" w:rsidRDefault="00EE6AB2" w:rsidP="00EE6AB2">
      <w:pPr>
        <w:jc w:val="both"/>
        <w:rPr>
          <w:bCs/>
          <w:sz w:val="22"/>
        </w:rPr>
      </w:pPr>
    </w:p>
    <w:p w:rsidR="00EE6AB2" w:rsidRDefault="00EE6AB2" w:rsidP="00EE6AB2">
      <w:pPr>
        <w:jc w:val="both"/>
        <w:rPr>
          <w:bCs/>
          <w:sz w:val="22"/>
        </w:rPr>
      </w:pPr>
      <w:r w:rsidRPr="00EE6AB2">
        <w:rPr>
          <w:b/>
          <w:bCs/>
          <w:sz w:val="22"/>
        </w:rPr>
        <w:t>Artículo 2. Identificación de puntos críticos</w:t>
      </w:r>
      <w:r w:rsidRPr="00EE6AB2">
        <w:rPr>
          <w:bCs/>
          <w:sz w:val="22"/>
        </w:rPr>
        <w:t>. La Secretaría Distrital de Seguridad, Convivencia y Justicia, con base en la información sobre presencia y recurrencia de conductas delictivas, identificará los puntos críticos  para la seguridad y en ellos, convocará mesas de trabajo con la participación de la respectiva alcaldía local, organizaciones sociales, comunidad, y demás autoridades que considere, a fin de priorizar las zonas de intervención con base en reportes ciudadanos, análisis estadístico, información distrital y observación territorial, preservando en todo caso la reserva de la información sensible.</w:t>
      </w:r>
    </w:p>
    <w:p w:rsidR="00EE6AB2" w:rsidRPr="00EE6AB2" w:rsidRDefault="00EE6AB2" w:rsidP="00EE6AB2">
      <w:pPr>
        <w:jc w:val="both"/>
        <w:rPr>
          <w:bCs/>
          <w:sz w:val="22"/>
        </w:rPr>
      </w:pPr>
    </w:p>
    <w:p w:rsidR="00EE6AB2" w:rsidRDefault="00EE6AB2" w:rsidP="00EE6AB2">
      <w:pPr>
        <w:jc w:val="both"/>
        <w:rPr>
          <w:bCs/>
          <w:sz w:val="22"/>
        </w:rPr>
      </w:pPr>
      <w:r w:rsidRPr="00EE6AB2">
        <w:rPr>
          <w:bCs/>
          <w:sz w:val="22"/>
        </w:rPr>
        <w:t xml:space="preserve">En estas zonas se implementarán estrategias para que la comunidad conozca los frentes de seguridad y se impulsen los procesos de coadyuvancia entre la administración Distrital y la comunidad. </w:t>
      </w:r>
    </w:p>
    <w:p w:rsidR="00EE6AB2" w:rsidRPr="00EE6AB2" w:rsidRDefault="00EE6AB2" w:rsidP="00EE6AB2">
      <w:pPr>
        <w:jc w:val="both"/>
        <w:rPr>
          <w:bCs/>
          <w:sz w:val="22"/>
        </w:rPr>
      </w:pPr>
    </w:p>
    <w:p w:rsidR="00EE6AB2" w:rsidRDefault="00EE6AB2" w:rsidP="00EE6AB2">
      <w:pPr>
        <w:jc w:val="both"/>
        <w:rPr>
          <w:bCs/>
          <w:sz w:val="22"/>
        </w:rPr>
      </w:pPr>
      <w:r w:rsidRPr="00EE6AB2">
        <w:rPr>
          <w:b/>
          <w:bCs/>
          <w:sz w:val="22"/>
        </w:rPr>
        <w:t>Artículo 3. Articulación institucional y fortalecimiento</w:t>
      </w:r>
      <w:r w:rsidRPr="00EE6AB2">
        <w:rPr>
          <w:bCs/>
          <w:sz w:val="22"/>
        </w:rPr>
        <w:t xml:space="preserve">.  Una vez conformados los frentes de seguridad o zonas seguras con la Policía Metropolitana, las alcaldías locales propenderán por llevar un control de los mismos, por lo que deberán articularse con las demás entidades u organismos competentes para consolidar una base de datos que contenga como mínimo el número de integrantes, la zona específica que cubre el frente, nombre y contacto de la persona que hace las veces de coordinador, nombres de los integrantes y dispositivos tecnológicos con los que cuentan, con el fin de focalizar la entrega de apoyos.  </w:t>
      </w:r>
    </w:p>
    <w:p w:rsidR="00EE6AB2" w:rsidRDefault="00EE6AB2" w:rsidP="00EE6AB2">
      <w:pPr>
        <w:jc w:val="both"/>
        <w:rPr>
          <w:bCs/>
          <w:sz w:val="22"/>
        </w:rPr>
      </w:pPr>
    </w:p>
    <w:p w:rsidR="00EE6AB2" w:rsidRDefault="00EE6AB2" w:rsidP="00EE6AB2">
      <w:pPr>
        <w:jc w:val="both"/>
        <w:rPr>
          <w:bCs/>
          <w:sz w:val="22"/>
        </w:rPr>
      </w:pPr>
      <w:r w:rsidRPr="00EE6AB2">
        <w:rPr>
          <w:b/>
          <w:bCs/>
          <w:sz w:val="22"/>
        </w:rPr>
        <w:lastRenderedPageBreak/>
        <w:t>Artículo 4. Implementación y mecanismos de operación</w:t>
      </w:r>
      <w:r w:rsidRPr="00EE6AB2">
        <w:rPr>
          <w:bCs/>
          <w:sz w:val="22"/>
        </w:rPr>
        <w:t xml:space="preserve">. La implementación de los Frentes de Seguridad o Zonas Seguras se iniciará a partir de la iniciativa de las comunidades, mediante reuniones de coordinación interinstitucional y comunitaria en las zonas priorizadas, donde se explicará su estructura y funcionamiento. </w:t>
      </w:r>
    </w:p>
    <w:p w:rsidR="00EE6AB2" w:rsidRPr="00EE6AB2" w:rsidRDefault="00EE6AB2" w:rsidP="00EE6AB2">
      <w:pPr>
        <w:jc w:val="both"/>
        <w:rPr>
          <w:bCs/>
          <w:sz w:val="22"/>
        </w:rPr>
      </w:pPr>
    </w:p>
    <w:p w:rsidR="00EE6AB2" w:rsidRDefault="00EE6AB2" w:rsidP="00EE6AB2">
      <w:pPr>
        <w:jc w:val="both"/>
        <w:rPr>
          <w:bCs/>
          <w:sz w:val="22"/>
        </w:rPr>
      </w:pPr>
      <w:r w:rsidRPr="00EE6AB2">
        <w:rPr>
          <w:bCs/>
          <w:sz w:val="22"/>
        </w:rPr>
        <w:t>La Administración Distrital propenderá porque durante dichas reuniones se elija el coordinador comunitario y se establezcan los mecanismos de alerta temprana y comunicación directa con las autoridades competentes</w:t>
      </w:r>
      <w:r>
        <w:rPr>
          <w:bCs/>
          <w:sz w:val="22"/>
        </w:rPr>
        <w:t>.</w:t>
      </w:r>
    </w:p>
    <w:p w:rsidR="00EE6AB2" w:rsidRPr="00EE6AB2" w:rsidRDefault="00EE6AB2" w:rsidP="00EE6AB2">
      <w:pPr>
        <w:jc w:val="both"/>
        <w:rPr>
          <w:bCs/>
          <w:sz w:val="22"/>
        </w:rPr>
      </w:pPr>
    </w:p>
    <w:p w:rsidR="00EE6AB2" w:rsidRPr="00EE6AB2" w:rsidRDefault="00EE6AB2" w:rsidP="00EE6AB2">
      <w:pPr>
        <w:jc w:val="both"/>
        <w:rPr>
          <w:bCs/>
          <w:sz w:val="22"/>
        </w:rPr>
      </w:pPr>
      <w:r w:rsidRPr="00EE6AB2">
        <w:rPr>
          <w:b/>
          <w:bCs/>
          <w:sz w:val="22"/>
        </w:rPr>
        <w:t>Artículo 5. Dotación tecnológica</w:t>
      </w:r>
      <w:r w:rsidRPr="00EE6AB2">
        <w:rPr>
          <w:bCs/>
          <w:sz w:val="22"/>
        </w:rPr>
        <w:t>. La Secretaría Distrital de Seguridad, Convivencia y Justicia o las alcaldías locales podrá entregar dotación tecnológica a los frentes de seguridad debidamente inscritos en los sistemas dispuestos por la Policía Metropolitana, priorizando lo que operen en zonas identificadas como puntos críticos.</w:t>
      </w:r>
    </w:p>
    <w:p w:rsidR="00EE6AB2" w:rsidRPr="00EE6AB2" w:rsidRDefault="00EE6AB2" w:rsidP="00EE6AB2">
      <w:pPr>
        <w:jc w:val="center"/>
        <w:rPr>
          <w:bCs/>
          <w:sz w:val="22"/>
        </w:rPr>
      </w:pPr>
    </w:p>
    <w:p w:rsidR="00EE6AB2" w:rsidRDefault="00EE6AB2" w:rsidP="00EE6AB2">
      <w:pPr>
        <w:jc w:val="both"/>
        <w:rPr>
          <w:bCs/>
          <w:sz w:val="22"/>
        </w:rPr>
      </w:pPr>
      <w:r w:rsidRPr="00EE6AB2">
        <w:rPr>
          <w:bCs/>
          <w:sz w:val="22"/>
        </w:rPr>
        <w:t>La dotación podrá incluir: cámaras de vigilancia conectadas al C4 y CAD, alarmas comunitarias, radios de comunicación, teléfonos móviles, linternas, aplicaciones digitales u otros dispositivos que fortalezcan la prevención, disuasión y reacción ante delitos.</w:t>
      </w:r>
    </w:p>
    <w:p w:rsidR="00EE6AB2" w:rsidRPr="00EE6AB2" w:rsidRDefault="00EE6AB2" w:rsidP="00EE6AB2">
      <w:pPr>
        <w:jc w:val="both"/>
        <w:rPr>
          <w:bCs/>
          <w:sz w:val="22"/>
        </w:rPr>
      </w:pPr>
    </w:p>
    <w:p w:rsidR="00EE6AB2" w:rsidRDefault="00EE6AB2" w:rsidP="00EE6AB2">
      <w:pPr>
        <w:jc w:val="both"/>
        <w:rPr>
          <w:bCs/>
          <w:sz w:val="22"/>
        </w:rPr>
      </w:pPr>
      <w:r w:rsidRPr="00EE6AB2">
        <w:rPr>
          <w:b/>
          <w:bCs/>
          <w:sz w:val="22"/>
        </w:rPr>
        <w:t>Artículo 6. Capacitación y cultura ciudadana.</w:t>
      </w:r>
      <w:r w:rsidRPr="00EE6AB2">
        <w:rPr>
          <w:bCs/>
          <w:sz w:val="22"/>
        </w:rPr>
        <w:t xml:space="preserve"> La Secretaría Distrital de Seguridad, en articulación con las entidades distritales competentes, organizará jornadas de capacitación dirigidas a los integrantes de los Frentes de Seguridad o zonas segura</w:t>
      </w:r>
      <w:r>
        <w:rPr>
          <w:bCs/>
          <w:sz w:val="22"/>
        </w:rPr>
        <w:t>s en temas relacionados con la p</w:t>
      </w:r>
      <w:r w:rsidRPr="00EE6AB2">
        <w:rPr>
          <w:bCs/>
          <w:sz w:val="22"/>
        </w:rPr>
        <w:t>revención de</w:t>
      </w:r>
      <w:r>
        <w:rPr>
          <w:bCs/>
          <w:sz w:val="22"/>
        </w:rPr>
        <w:t>l delito y gestión de riesgos, m</w:t>
      </w:r>
      <w:r w:rsidRPr="00EE6AB2">
        <w:rPr>
          <w:bCs/>
          <w:sz w:val="22"/>
        </w:rPr>
        <w:t>ediación comunitar</w:t>
      </w:r>
      <w:r>
        <w:rPr>
          <w:bCs/>
          <w:sz w:val="22"/>
        </w:rPr>
        <w:t>ia y resolución de conflictos, c</w:t>
      </w:r>
      <w:r w:rsidRPr="00EE6AB2">
        <w:rPr>
          <w:bCs/>
          <w:sz w:val="22"/>
        </w:rPr>
        <w:t xml:space="preserve">ultura ciudadana y autorregulación, </w:t>
      </w:r>
      <w:r>
        <w:rPr>
          <w:bCs/>
          <w:sz w:val="22"/>
        </w:rPr>
        <w:t>c</w:t>
      </w:r>
      <w:r w:rsidRPr="00EE6AB2">
        <w:rPr>
          <w:bCs/>
          <w:sz w:val="22"/>
        </w:rPr>
        <w:t xml:space="preserve">onocimiento y uso de tecnologías y líneas de emergencia u otros que considere pertinentes de acuerdo con el tipo de delitos más común en cada sector. </w:t>
      </w:r>
    </w:p>
    <w:p w:rsidR="00EE6AB2" w:rsidRPr="00EE6AB2" w:rsidRDefault="00EE6AB2" w:rsidP="00EE6AB2">
      <w:pPr>
        <w:jc w:val="center"/>
        <w:rPr>
          <w:bCs/>
          <w:sz w:val="22"/>
        </w:rPr>
      </w:pPr>
    </w:p>
    <w:p w:rsidR="00EE6AB2" w:rsidRPr="00EE6AB2" w:rsidRDefault="00EE6AB2" w:rsidP="00EE6AB2">
      <w:pPr>
        <w:jc w:val="both"/>
        <w:rPr>
          <w:bCs/>
          <w:sz w:val="22"/>
        </w:rPr>
      </w:pPr>
      <w:r w:rsidRPr="00EE6AB2">
        <w:rPr>
          <w:b/>
          <w:bCs/>
          <w:sz w:val="22"/>
        </w:rPr>
        <w:t>Artículo 7. Responsabilidades</w:t>
      </w:r>
      <w:r w:rsidRPr="00EE6AB2">
        <w:rPr>
          <w:bCs/>
          <w:sz w:val="22"/>
        </w:rPr>
        <w:t>. Para la correcta implementación y sostenibilidad de los Frentes de Seguridad o Zonas Seguras, la Administración Distrital, en articulación con las entidades administrativas de nivel local, propenderá por:</w:t>
      </w:r>
    </w:p>
    <w:p w:rsidR="00EE6AB2" w:rsidRPr="00EE6AB2" w:rsidRDefault="00EE6AB2" w:rsidP="00EE6AB2">
      <w:pPr>
        <w:pStyle w:val="Prrafodelista"/>
        <w:numPr>
          <w:ilvl w:val="0"/>
          <w:numId w:val="10"/>
        </w:numPr>
        <w:jc w:val="both"/>
        <w:rPr>
          <w:bCs/>
          <w:sz w:val="22"/>
        </w:rPr>
      </w:pPr>
      <w:r w:rsidRPr="00EE6AB2">
        <w:rPr>
          <w:bCs/>
          <w:sz w:val="22"/>
        </w:rPr>
        <w:t>Apoyar activamente la implementación y operación de los frentes de seguridad en sus respectivas zonas.</w:t>
      </w:r>
    </w:p>
    <w:p w:rsidR="00EE6AB2" w:rsidRPr="00EE6AB2" w:rsidRDefault="00EE6AB2" w:rsidP="00EE6AB2">
      <w:pPr>
        <w:pStyle w:val="Prrafodelista"/>
        <w:numPr>
          <w:ilvl w:val="0"/>
          <w:numId w:val="10"/>
        </w:numPr>
        <w:jc w:val="both"/>
        <w:rPr>
          <w:bCs/>
          <w:sz w:val="22"/>
        </w:rPr>
      </w:pPr>
      <w:r w:rsidRPr="00EE6AB2">
        <w:rPr>
          <w:bCs/>
          <w:sz w:val="22"/>
        </w:rPr>
        <w:t>Fomentar la participación de juntas comunales, organizaciones sociales y otros actores comunitarios locales.</w:t>
      </w:r>
    </w:p>
    <w:p w:rsidR="00EE6AB2" w:rsidRDefault="00EE6AB2" w:rsidP="00EE6AB2">
      <w:pPr>
        <w:pStyle w:val="Prrafodelista"/>
        <w:numPr>
          <w:ilvl w:val="0"/>
          <w:numId w:val="10"/>
        </w:numPr>
        <w:jc w:val="both"/>
        <w:rPr>
          <w:bCs/>
          <w:sz w:val="22"/>
        </w:rPr>
      </w:pPr>
      <w:r w:rsidRPr="00EE6AB2">
        <w:rPr>
          <w:bCs/>
          <w:sz w:val="22"/>
        </w:rPr>
        <w:t>Gestionar y canalizar recursos necesarios para las intervenciones y acciones de mejora en las zonas críticas.</w:t>
      </w:r>
    </w:p>
    <w:p w:rsidR="00EE6AB2" w:rsidRPr="00EE6AB2" w:rsidRDefault="00EE6AB2" w:rsidP="00EE6AB2">
      <w:pPr>
        <w:pStyle w:val="Prrafodelista"/>
        <w:ind w:left="1065"/>
        <w:jc w:val="both"/>
        <w:rPr>
          <w:bCs/>
          <w:sz w:val="22"/>
        </w:rPr>
      </w:pPr>
    </w:p>
    <w:p w:rsidR="00EE6AB2" w:rsidRPr="00EE6AB2" w:rsidRDefault="00EE6AB2" w:rsidP="00EE6AB2">
      <w:pPr>
        <w:jc w:val="both"/>
        <w:rPr>
          <w:bCs/>
          <w:sz w:val="22"/>
        </w:rPr>
      </w:pPr>
      <w:r w:rsidRPr="00EE6AB2">
        <w:rPr>
          <w:b/>
          <w:bCs/>
          <w:sz w:val="22"/>
        </w:rPr>
        <w:t>Artículo 8. Seguimiento y evaluación</w:t>
      </w:r>
      <w:r w:rsidRPr="00EE6AB2">
        <w:rPr>
          <w:bCs/>
          <w:sz w:val="22"/>
        </w:rPr>
        <w:t>. La Secretaría Distrital de Seguridad con apoyo de las alcaldías locales, llevará a cabo visitas técnicas, simulacros y evaluaciones periódicas de desempeño de los frentes registrados, con indicadores de impacto en reducción de criminalidad y percepción de seguridad, con el fin de determinar la necesidad de apoyos tecnológicos.</w:t>
      </w:r>
    </w:p>
    <w:p w:rsidR="00EE6AB2" w:rsidRDefault="00EE6AB2" w:rsidP="00EE6AB2">
      <w:pPr>
        <w:jc w:val="both"/>
        <w:rPr>
          <w:bCs/>
          <w:sz w:val="22"/>
        </w:rPr>
      </w:pPr>
      <w:r w:rsidRPr="00EE6AB2">
        <w:rPr>
          <w:bCs/>
          <w:sz w:val="22"/>
        </w:rPr>
        <w:t xml:space="preserve">El resultado de estas evaluaciones deberá ser integrado en un informe que esté a disposición del concejo de Bogotá y la ciudadanía. </w:t>
      </w:r>
    </w:p>
    <w:p w:rsidR="00EE6AB2" w:rsidRPr="00EE6AB2" w:rsidRDefault="00EE6AB2" w:rsidP="00EE6AB2">
      <w:pPr>
        <w:jc w:val="both"/>
        <w:rPr>
          <w:bCs/>
          <w:sz w:val="22"/>
        </w:rPr>
      </w:pPr>
    </w:p>
    <w:p w:rsidR="00EE6AB2" w:rsidRDefault="00EE6AB2" w:rsidP="00EE6AB2">
      <w:pPr>
        <w:jc w:val="both"/>
        <w:rPr>
          <w:bCs/>
          <w:sz w:val="22"/>
        </w:rPr>
      </w:pPr>
      <w:r w:rsidRPr="00EE6AB2">
        <w:rPr>
          <w:b/>
          <w:bCs/>
          <w:sz w:val="22"/>
        </w:rPr>
        <w:t>Artículo 9. Vigencia</w:t>
      </w:r>
      <w:r w:rsidRPr="00EE6AB2">
        <w:rPr>
          <w:bCs/>
          <w:sz w:val="22"/>
        </w:rPr>
        <w:t>. El presente Acuerdo rige a partir de su sanción y publicación oficial, derogando todas las disposiciones que le sean contrarias.</w:t>
      </w:r>
    </w:p>
    <w:p w:rsidR="00EE6AB2" w:rsidRPr="00EE6AB2" w:rsidRDefault="00EE6AB2" w:rsidP="00FA6607">
      <w:pPr>
        <w:jc w:val="center"/>
        <w:rPr>
          <w:bCs/>
          <w:sz w:val="22"/>
        </w:rPr>
      </w:pPr>
      <w:r w:rsidRPr="00EE6AB2">
        <w:rPr>
          <w:b/>
          <w:bCs/>
          <w:sz w:val="22"/>
        </w:rPr>
        <w:t>PUBLÍQUESE Y CÚMPLASE</w:t>
      </w:r>
    </w:p>
    <w:sectPr w:rsidR="00EE6AB2" w:rsidRPr="00EE6AB2" w:rsidSect="00EE6AB2">
      <w:headerReference w:type="default" r:id="rId8"/>
      <w:footerReference w:type="even" r:id="rId9"/>
      <w:footerReference w:type="default" r:id="rId10"/>
      <w:pgSz w:w="12242" w:h="15842" w:code="1"/>
      <w:pgMar w:top="1701" w:right="1701" w:bottom="993"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9F9" w:rsidRDefault="00EA19F9">
      <w:r>
        <w:separator/>
      </w:r>
    </w:p>
  </w:endnote>
  <w:endnote w:type="continuationSeparator" w:id="0">
    <w:p w:rsidR="00EA19F9" w:rsidRDefault="00EA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40" w:rsidRDefault="001A0EA1" w:rsidP="000D1C54">
    <w:pPr>
      <w:pStyle w:val="Piedepgina"/>
      <w:framePr w:wrap="around" w:vAnchor="text" w:hAnchor="margin" w:xAlign="right" w:y="1"/>
      <w:rPr>
        <w:rStyle w:val="Nmerodepgina"/>
      </w:rPr>
    </w:pPr>
    <w:r>
      <w:rPr>
        <w:rStyle w:val="Nmerodepgina"/>
      </w:rPr>
      <w:fldChar w:fldCharType="begin"/>
    </w:r>
    <w:r w:rsidR="00633540">
      <w:rPr>
        <w:rStyle w:val="Nmerodepgina"/>
      </w:rPr>
      <w:instrText xml:space="preserve">PAGE  </w:instrText>
    </w:r>
    <w:r>
      <w:rPr>
        <w:rStyle w:val="Nmerodepgina"/>
      </w:rPr>
      <w:fldChar w:fldCharType="separate"/>
    </w:r>
    <w:r w:rsidR="00633540">
      <w:rPr>
        <w:rStyle w:val="Nmerodepgina"/>
        <w:noProof/>
      </w:rPr>
      <w:t>1</w:t>
    </w:r>
    <w:r>
      <w:rPr>
        <w:rStyle w:val="Nmerodepgina"/>
      </w:rPr>
      <w:fldChar w:fldCharType="end"/>
    </w:r>
  </w:p>
  <w:p w:rsidR="00633540" w:rsidRDefault="00633540" w:rsidP="007341F6">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257" w:rsidRDefault="00DC4257" w:rsidP="00DC4257">
    <w:pPr>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9F9" w:rsidRDefault="00EA19F9">
      <w:r>
        <w:separator/>
      </w:r>
    </w:p>
  </w:footnote>
  <w:footnote w:type="continuationSeparator" w:id="0">
    <w:p w:rsidR="00EA19F9" w:rsidRDefault="00EA1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361"/>
      <w:gridCol w:w="4235"/>
      <w:gridCol w:w="2234"/>
    </w:tblGrid>
    <w:tr w:rsidR="002D294D" w:rsidTr="00851E51">
      <w:trPr>
        <w:trHeight w:val="454"/>
      </w:trPr>
      <w:tc>
        <w:tcPr>
          <w:tcW w:w="1337" w:type="pct"/>
          <w:vMerge w:val="restart"/>
          <w:tcBorders>
            <w:top w:val="single" w:sz="4" w:space="0" w:color="auto"/>
            <w:left w:val="single" w:sz="4" w:space="0" w:color="auto"/>
            <w:right w:val="single" w:sz="4" w:space="0" w:color="auto"/>
          </w:tcBorders>
          <w:vAlign w:val="center"/>
        </w:tcPr>
        <w:p w:rsidR="002D294D" w:rsidRPr="00920985" w:rsidRDefault="002D294D" w:rsidP="002D294D">
          <w:pPr>
            <w:jc w:val="center"/>
            <w:rPr>
              <w:rFonts w:cs="Arial"/>
              <w:sz w:val="16"/>
              <w:szCs w:val="16"/>
            </w:rPr>
          </w:pPr>
        </w:p>
      </w:tc>
      <w:tc>
        <w:tcPr>
          <w:tcW w:w="2398" w:type="pct"/>
          <w:tcBorders>
            <w:top w:val="single" w:sz="4" w:space="0" w:color="auto"/>
            <w:left w:val="nil"/>
            <w:bottom w:val="single" w:sz="4" w:space="0" w:color="auto"/>
            <w:right w:val="single" w:sz="4" w:space="0" w:color="auto"/>
          </w:tcBorders>
          <w:vAlign w:val="center"/>
        </w:tcPr>
        <w:p w:rsidR="002D294D" w:rsidRPr="007E0E2F" w:rsidRDefault="002D294D" w:rsidP="002D294D">
          <w:pPr>
            <w:jc w:val="center"/>
            <w:rPr>
              <w:rFonts w:cs="Arial"/>
              <w:sz w:val="18"/>
              <w:szCs w:val="18"/>
            </w:rPr>
          </w:pPr>
          <w:r w:rsidRPr="007E0E2F">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rsidR="002D294D" w:rsidRPr="00EA3A02" w:rsidRDefault="002D294D" w:rsidP="00006108">
          <w:pPr>
            <w:rPr>
              <w:rFonts w:cs="Arial"/>
              <w:sz w:val="16"/>
              <w:szCs w:val="16"/>
            </w:rPr>
          </w:pPr>
          <w:r w:rsidRPr="00EA3A02">
            <w:rPr>
              <w:rFonts w:cs="Arial"/>
              <w:sz w:val="16"/>
              <w:szCs w:val="16"/>
            </w:rPr>
            <w:t>C</w:t>
          </w:r>
          <w:r>
            <w:rPr>
              <w:rFonts w:cs="Arial"/>
              <w:sz w:val="16"/>
              <w:szCs w:val="16"/>
            </w:rPr>
            <w:t>ÓDIGO</w:t>
          </w:r>
          <w:r w:rsidRPr="00EA3A02">
            <w:rPr>
              <w:rFonts w:cs="Arial"/>
              <w:color w:val="3366FF"/>
              <w:sz w:val="16"/>
              <w:szCs w:val="16"/>
            </w:rPr>
            <w:t xml:space="preserve">: </w:t>
          </w:r>
          <w:r w:rsidRPr="00920985">
            <w:rPr>
              <w:rFonts w:cs="Arial"/>
              <w:sz w:val="16"/>
              <w:szCs w:val="16"/>
            </w:rPr>
            <w:t>GN</w:t>
          </w:r>
          <w:r w:rsidR="003F2114">
            <w:rPr>
              <w:rFonts w:cs="Arial"/>
              <w:sz w:val="16"/>
              <w:szCs w:val="16"/>
            </w:rPr>
            <w:t>V</w:t>
          </w:r>
          <w:r>
            <w:rPr>
              <w:rFonts w:cs="Arial"/>
              <w:sz w:val="16"/>
              <w:szCs w:val="16"/>
            </w:rPr>
            <w:t>-</w:t>
          </w:r>
          <w:r w:rsidR="003F2114">
            <w:rPr>
              <w:rFonts w:cs="Arial"/>
              <w:sz w:val="16"/>
              <w:szCs w:val="16"/>
            </w:rPr>
            <w:t>FO-00</w:t>
          </w:r>
          <w:r w:rsidR="00006108">
            <w:rPr>
              <w:rFonts w:cs="Arial"/>
              <w:sz w:val="16"/>
              <w:szCs w:val="16"/>
            </w:rPr>
            <w:t>3</w:t>
          </w:r>
        </w:p>
      </w:tc>
    </w:tr>
    <w:tr w:rsidR="002D294D" w:rsidTr="00851E51">
      <w:trPr>
        <w:trHeight w:val="454"/>
      </w:trPr>
      <w:tc>
        <w:tcPr>
          <w:tcW w:w="1337" w:type="pct"/>
          <w:vMerge/>
          <w:tcBorders>
            <w:left w:val="single" w:sz="4" w:space="0" w:color="auto"/>
            <w:right w:val="single" w:sz="4" w:space="0" w:color="auto"/>
          </w:tcBorders>
          <w:vAlign w:val="center"/>
        </w:tcPr>
        <w:p w:rsidR="002D294D" w:rsidRDefault="002D294D" w:rsidP="002D294D">
          <w:pPr>
            <w:rPr>
              <w:rFonts w:cs="Arial"/>
              <w:sz w:val="16"/>
              <w:szCs w:val="16"/>
            </w:rPr>
          </w:pPr>
        </w:p>
      </w:tc>
      <w:tc>
        <w:tcPr>
          <w:tcW w:w="2398" w:type="pct"/>
          <w:vMerge w:val="restart"/>
          <w:tcBorders>
            <w:top w:val="single" w:sz="4" w:space="0" w:color="auto"/>
            <w:left w:val="nil"/>
            <w:right w:val="single" w:sz="4" w:space="0" w:color="auto"/>
          </w:tcBorders>
          <w:vAlign w:val="center"/>
        </w:tcPr>
        <w:p w:rsidR="002D294D" w:rsidRPr="002D294D" w:rsidRDefault="002D294D" w:rsidP="002D294D">
          <w:pPr>
            <w:jc w:val="center"/>
            <w:rPr>
              <w:rFonts w:cs="Arial"/>
              <w:sz w:val="20"/>
            </w:rPr>
          </w:pPr>
          <w:r w:rsidRPr="002D294D">
            <w:rPr>
              <w:rFonts w:cs="Arial"/>
              <w:sz w:val="20"/>
            </w:rPr>
            <w:t>PRESENTACIÓN PONENCIAS</w:t>
          </w:r>
        </w:p>
      </w:tc>
      <w:tc>
        <w:tcPr>
          <w:tcW w:w="1265" w:type="pct"/>
          <w:tcBorders>
            <w:top w:val="single" w:sz="4" w:space="0" w:color="auto"/>
            <w:left w:val="nil"/>
            <w:bottom w:val="single" w:sz="4" w:space="0" w:color="auto"/>
            <w:right w:val="single" w:sz="4" w:space="0" w:color="000000"/>
          </w:tcBorders>
          <w:vAlign w:val="center"/>
        </w:tcPr>
        <w:p w:rsidR="002D294D" w:rsidRPr="00EA3A02" w:rsidRDefault="002D294D" w:rsidP="002D294D">
          <w:pPr>
            <w:rPr>
              <w:rFonts w:cs="Arial"/>
              <w:sz w:val="16"/>
              <w:szCs w:val="16"/>
            </w:rPr>
          </w:pPr>
          <w:r>
            <w:rPr>
              <w:rFonts w:cs="Arial"/>
              <w:sz w:val="16"/>
              <w:szCs w:val="16"/>
            </w:rPr>
            <w:t>VERSIÓN:    0</w:t>
          </w:r>
          <w:r w:rsidR="003F2114">
            <w:rPr>
              <w:rFonts w:cs="Arial"/>
              <w:sz w:val="16"/>
              <w:szCs w:val="16"/>
            </w:rPr>
            <w:t>1</w:t>
          </w:r>
        </w:p>
      </w:tc>
    </w:tr>
    <w:tr w:rsidR="002D294D" w:rsidTr="00851E51">
      <w:trPr>
        <w:trHeight w:val="454"/>
      </w:trPr>
      <w:tc>
        <w:tcPr>
          <w:tcW w:w="1337" w:type="pct"/>
          <w:vMerge/>
          <w:tcBorders>
            <w:left w:val="single" w:sz="4" w:space="0" w:color="auto"/>
            <w:bottom w:val="single" w:sz="4" w:space="0" w:color="auto"/>
            <w:right w:val="single" w:sz="4" w:space="0" w:color="auto"/>
          </w:tcBorders>
          <w:vAlign w:val="center"/>
        </w:tcPr>
        <w:p w:rsidR="002D294D" w:rsidRDefault="002D294D" w:rsidP="002D294D">
          <w:pPr>
            <w:rPr>
              <w:rFonts w:cs="Arial"/>
              <w:sz w:val="16"/>
              <w:szCs w:val="16"/>
            </w:rPr>
          </w:pPr>
        </w:p>
      </w:tc>
      <w:tc>
        <w:tcPr>
          <w:tcW w:w="2398" w:type="pct"/>
          <w:vMerge/>
          <w:tcBorders>
            <w:left w:val="nil"/>
            <w:bottom w:val="single" w:sz="4" w:space="0" w:color="auto"/>
            <w:right w:val="single" w:sz="4" w:space="0" w:color="auto"/>
          </w:tcBorders>
          <w:vAlign w:val="center"/>
        </w:tcPr>
        <w:p w:rsidR="002D294D" w:rsidRDefault="002D294D" w:rsidP="002D294D">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rsidR="002D294D" w:rsidRDefault="002D294D" w:rsidP="006671DC">
          <w:pPr>
            <w:rPr>
              <w:rFonts w:cs="Arial"/>
              <w:sz w:val="16"/>
              <w:szCs w:val="16"/>
            </w:rPr>
          </w:pPr>
          <w:r w:rsidRPr="00EA3A02">
            <w:rPr>
              <w:rFonts w:cs="Arial"/>
              <w:sz w:val="16"/>
              <w:szCs w:val="16"/>
            </w:rPr>
            <w:t>F</w:t>
          </w:r>
          <w:r>
            <w:rPr>
              <w:rFonts w:cs="Arial"/>
              <w:sz w:val="16"/>
              <w:szCs w:val="16"/>
            </w:rPr>
            <w:t xml:space="preserve">ECHA: </w:t>
          </w:r>
          <w:r w:rsidR="006671DC">
            <w:rPr>
              <w:rFonts w:cs="Arial"/>
              <w:sz w:val="16"/>
              <w:szCs w:val="16"/>
            </w:rPr>
            <w:t>14-Nov-2019</w:t>
          </w:r>
        </w:p>
      </w:tc>
    </w:tr>
  </w:tbl>
  <w:p w:rsidR="00633540" w:rsidRPr="002D294D" w:rsidRDefault="00851E51" w:rsidP="002D294D">
    <w:pPr>
      <w:pStyle w:val="Encabezado"/>
    </w:pPr>
    <w:r w:rsidRPr="00D4338D">
      <w:rPr>
        <w:noProof/>
        <w:lang w:val="es-CO" w:eastAsia="es-CO"/>
      </w:rPr>
      <w:drawing>
        <wp:anchor distT="0" distB="0" distL="114300" distR="114300" simplePos="0" relativeHeight="251662336" behindDoc="1" locked="0" layoutInCell="1" allowOverlap="1" wp14:anchorId="5B8A6FFF" wp14:editId="68F771B6">
          <wp:simplePos x="0" y="0"/>
          <wp:positionH relativeFrom="column">
            <wp:posOffset>327025</wp:posOffset>
          </wp:positionH>
          <wp:positionV relativeFrom="paragraph">
            <wp:posOffset>-895350</wp:posOffset>
          </wp:positionV>
          <wp:extent cx="752475" cy="885825"/>
          <wp:effectExtent l="0" t="0" r="9525" b="952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75748"/>
    <w:multiLevelType w:val="hybridMultilevel"/>
    <w:tmpl w:val="561CC6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9C5B5C"/>
    <w:multiLevelType w:val="hybridMultilevel"/>
    <w:tmpl w:val="380A43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3E2726"/>
    <w:multiLevelType w:val="hybridMultilevel"/>
    <w:tmpl w:val="5FEE9A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C41686"/>
    <w:multiLevelType w:val="hybridMultilevel"/>
    <w:tmpl w:val="FF2CC282"/>
    <w:lvl w:ilvl="0" w:tplc="AB8A5E24">
      <w:start w:val="1"/>
      <w:numFmt w:val="bullet"/>
      <w:lvlText w:val="-"/>
      <w:lvlJc w:val="left"/>
      <w:pPr>
        <w:tabs>
          <w:tab w:val="num" w:pos="720"/>
        </w:tabs>
        <w:ind w:left="720" w:hanging="720"/>
      </w:pPr>
      <w:rPr>
        <w:rFonts w:ascii="Arial" w:eastAsia="Times New Roman" w:hAnsi="Arial" w:hint="default"/>
      </w:rPr>
    </w:lvl>
    <w:lvl w:ilvl="1" w:tplc="0C0A0003">
      <w:start w:val="1"/>
      <w:numFmt w:val="bullet"/>
      <w:lvlText w:val="o"/>
      <w:lvlJc w:val="left"/>
      <w:pPr>
        <w:tabs>
          <w:tab w:val="num" w:pos="2496"/>
        </w:tabs>
        <w:ind w:left="2496" w:hanging="360"/>
      </w:pPr>
      <w:rPr>
        <w:rFonts w:ascii="Courier New" w:hAnsi="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2A3451F4"/>
    <w:multiLevelType w:val="hybridMultilevel"/>
    <w:tmpl w:val="7440404A"/>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5" w15:restartNumberingAfterBreak="0">
    <w:nsid w:val="48EA6C7A"/>
    <w:multiLevelType w:val="hybridMultilevel"/>
    <w:tmpl w:val="A9EA29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F552E4D"/>
    <w:multiLevelType w:val="hybridMultilevel"/>
    <w:tmpl w:val="5B344B8A"/>
    <w:lvl w:ilvl="0" w:tplc="D042F37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1B37469"/>
    <w:multiLevelType w:val="hybridMultilevel"/>
    <w:tmpl w:val="16C25C24"/>
    <w:lvl w:ilvl="0" w:tplc="040EC6CC">
      <w:numFmt w:val="bullet"/>
      <w:lvlText w:val="•"/>
      <w:lvlJc w:val="left"/>
      <w:pPr>
        <w:ind w:left="1065" w:hanging="705"/>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01F3D32"/>
    <w:multiLevelType w:val="hybridMultilevel"/>
    <w:tmpl w:val="0E460B2A"/>
    <w:lvl w:ilvl="0" w:tplc="C6D2F762">
      <w:numFmt w:val="bullet"/>
      <w:lvlText w:val="-"/>
      <w:lvlJc w:val="left"/>
      <w:pPr>
        <w:ind w:left="1146" w:hanging="360"/>
      </w:pPr>
      <w:rPr>
        <w:rFonts w:ascii="Arial" w:eastAsia="Times New Roman" w:hAnsi="Aria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9" w15:restartNumberingAfterBreak="0">
    <w:nsid w:val="73F1239F"/>
    <w:multiLevelType w:val="hybridMultilevel"/>
    <w:tmpl w:val="953237D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4"/>
  </w:num>
  <w:num w:numId="3">
    <w:abstractNumId w:val="8"/>
  </w:num>
  <w:num w:numId="4">
    <w:abstractNumId w:val="5"/>
  </w:num>
  <w:num w:numId="5">
    <w:abstractNumId w:val="9"/>
  </w:num>
  <w:num w:numId="6">
    <w:abstractNumId w:val="6"/>
  </w:num>
  <w:num w:numId="7">
    <w:abstractNumId w:val="2"/>
  </w:num>
  <w:num w:numId="8">
    <w:abstractNumId w:val="0"/>
  </w:num>
  <w:num w:numId="9">
    <w:abstractNumId w:val="1"/>
  </w:num>
  <w:num w:numId="1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autoHyphenation/>
  <w:hyphenationZone w:val="142"/>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82C"/>
    <w:rsid w:val="00000AC5"/>
    <w:rsid w:val="00004452"/>
    <w:rsid w:val="00004A50"/>
    <w:rsid w:val="000059B8"/>
    <w:rsid w:val="00006108"/>
    <w:rsid w:val="000076EC"/>
    <w:rsid w:val="00010DD3"/>
    <w:rsid w:val="00011269"/>
    <w:rsid w:val="00011801"/>
    <w:rsid w:val="00011BCE"/>
    <w:rsid w:val="00012611"/>
    <w:rsid w:val="000154B2"/>
    <w:rsid w:val="000159EA"/>
    <w:rsid w:val="0002047E"/>
    <w:rsid w:val="00021C2A"/>
    <w:rsid w:val="00021CBC"/>
    <w:rsid w:val="00025190"/>
    <w:rsid w:val="0002796F"/>
    <w:rsid w:val="00031ABB"/>
    <w:rsid w:val="00035F85"/>
    <w:rsid w:val="0003606D"/>
    <w:rsid w:val="0003786D"/>
    <w:rsid w:val="00040A87"/>
    <w:rsid w:val="0004268D"/>
    <w:rsid w:val="000468B2"/>
    <w:rsid w:val="00047D27"/>
    <w:rsid w:val="00050074"/>
    <w:rsid w:val="000512AC"/>
    <w:rsid w:val="00054A48"/>
    <w:rsid w:val="00054C28"/>
    <w:rsid w:val="0005538D"/>
    <w:rsid w:val="000606F2"/>
    <w:rsid w:val="00060C03"/>
    <w:rsid w:val="00063A38"/>
    <w:rsid w:val="00065939"/>
    <w:rsid w:val="00066B89"/>
    <w:rsid w:val="000671C0"/>
    <w:rsid w:val="000721C1"/>
    <w:rsid w:val="0007345E"/>
    <w:rsid w:val="000760FF"/>
    <w:rsid w:val="000769A4"/>
    <w:rsid w:val="00083C02"/>
    <w:rsid w:val="0008405D"/>
    <w:rsid w:val="000844A8"/>
    <w:rsid w:val="00086163"/>
    <w:rsid w:val="0008684A"/>
    <w:rsid w:val="00087088"/>
    <w:rsid w:val="00091EB1"/>
    <w:rsid w:val="000925A1"/>
    <w:rsid w:val="00095B51"/>
    <w:rsid w:val="000963F9"/>
    <w:rsid w:val="00096C70"/>
    <w:rsid w:val="000972D1"/>
    <w:rsid w:val="000977E7"/>
    <w:rsid w:val="00097DB5"/>
    <w:rsid w:val="000A0030"/>
    <w:rsid w:val="000A14D7"/>
    <w:rsid w:val="000A6C08"/>
    <w:rsid w:val="000B4E23"/>
    <w:rsid w:val="000B4E77"/>
    <w:rsid w:val="000B509B"/>
    <w:rsid w:val="000B7C3B"/>
    <w:rsid w:val="000C05B0"/>
    <w:rsid w:val="000C3623"/>
    <w:rsid w:val="000C482C"/>
    <w:rsid w:val="000D1C54"/>
    <w:rsid w:val="000D2BCE"/>
    <w:rsid w:val="000D50FE"/>
    <w:rsid w:val="000D71B4"/>
    <w:rsid w:val="000E1909"/>
    <w:rsid w:val="000E3C29"/>
    <w:rsid w:val="000E418B"/>
    <w:rsid w:val="000E4369"/>
    <w:rsid w:val="000E6583"/>
    <w:rsid w:val="000E6B86"/>
    <w:rsid w:val="000F00B1"/>
    <w:rsid w:val="000F1586"/>
    <w:rsid w:val="000F552A"/>
    <w:rsid w:val="00100E1D"/>
    <w:rsid w:val="00101EBD"/>
    <w:rsid w:val="001031C4"/>
    <w:rsid w:val="0010473C"/>
    <w:rsid w:val="00104872"/>
    <w:rsid w:val="00104FEE"/>
    <w:rsid w:val="0010508F"/>
    <w:rsid w:val="00105763"/>
    <w:rsid w:val="00105A20"/>
    <w:rsid w:val="001064EA"/>
    <w:rsid w:val="001067DF"/>
    <w:rsid w:val="00106D51"/>
    <w:rsid w:val="001144A9"/>
    <w:rsid w:val="00115610"/>
    <w:rsid w:val="00120391"/>
    <w:rsid w:val="0012109F"/>
    <w:rsid w:val="00121CCB"/>
    <w:rsid w:val="00121F38"/>
    <w:rsid w:val="00123402"/>
    <w:rsid w:val="00125FA9"/>
    <w:rsid w:val="00127502"/>
    <w:rsid w:val="001277C9"/>
    <w:rsid w:val="001316B7"/>
    <w:rsid w:val="00132BB4"/>
    <w:rsid w:val="00133168"/>
    <w:rsid w:val="00134E79"/>
    <w:rsid w:val="001353FF"/>
    <w:rsid w:val="00135704"/>
    <w:rsid w:val="001363EA"/>
    <w:rsid w:val="001377B6"/>
    <w:rsid w:val="00140AEF"/>
    <w:rsid w:val="001411E5"/>
    <w:rsid w:val="001469EB"/>
    <w:rsid w:val="0015630E"/>
    <w:rsid w:val="00161BE3"/>
    <w:rsid w:val="00174A6A"/>
    <w:rsid w:val="0017605A"/>
    <w:rsid w:val="00176FFA"/>
    <w:rsid w:val="00177AE3"/>
    <w:rsid w:val="00181CD3"/>
    <w:rsid w:val="00183F8F"/>
    <w:rsid w:val="00186190"/>
    <w:rsid w:val="00187DF6"/>
    <w:rsid w:val="00190823"/>
    <w:rsid w:val="001916AF"/>
    <w:rsid w:val="001920BF"/>
    <w:rsid w:val="00193297"/>
    <w:rsid w:val="0019403D"/>
    <w:rsid w:val="001944EB"/>
    <w:rsid w:val="00194546"/>
    <w:rsid w:val="00197A0A"/>
    <w:rsid w:val="001A0BC5"/>
    <w:rsid w:val="001A0EA1"/>
    <w:rsid w:val="001A292B"/>
    <w:rsid w:val="001A5510"/>
    <w:rsid w:val="001A5ED6"/>
    <w:rsid w:val="001B047D"/>
    <w:rsid w:val="001B11EA"/>
    <w:rsid w:val="001B29AE"/>
    <w:rsid w:val="001C33C1"/>
    <w:rsid w:val="001C6022"/>
    <w:rsid w:val="001C7725"/>
    <w:rsid w:val="001C798A"/>
    <w:rsid w:val="001D0D50"/>
    <w:rsid w:val="001D1FD3"/>
    <w:rsid w:val="001D78E7"/>
    <w:rsid w:val="001E0250"/>
    <w:rsid w:val="001E214B"/>
    <w:rsid w:val="001E5883"/>
    <w:rsid w:val="001F3794"/>
    <w:rsid w:val="001F6FE2"/>
    <w:rsid w:val="001F72F6"/>
    <w:rsid w:val="001F7DBF"/>
    <w:rsid w:val="00201CD0"/>
    <w:rsid w:val="00203763"/>
    <w:rsid w:val="0020381D"/>
    <w:rsid w:val="00210853"/>
    <w:rsid w:val="00211ACD"/>
    <w:rsid w:val="0021240F"/>
    <w:rsid w:val="00213574"/>
    <w:rsid w:val="002142AC"/>
    <w:rsid w:val="00214E28"/>
    <w:rsid w:val="00217EA7"/>
    <w:rsid w:val="002211D8"/>
    <w:rsid w:val="00221CC3"/>
    <w:rsid w:val="00223E4C"/>
    <w:rsid w:val="00223F6A"/>
    <w:rsid w:val="002248DC"/>
    <w:rsid w:val="002271E4"/>
    <w:rsid w:val="00230528"/>
    <w:rsid w:val="00232150"/>
    <w:rsid w:val="002334EF"/>
    <w:rsid w:val="00240C73"/>
    <w:rsid w:val="0024488E"/>
    <w:rsid w:val="00246E98"/>
    <w:rsid w:val="00253D21"/>
    <w:rsid w:val="00256A9C"/>
    <w:rsid w:val="00261D8F"/>
    <w:rsid w:val="002623F4"/>
    <w:rsid w:val="00265386"/>
    <w:rsid w:val="00266720"/>
    <w:rsid w:val="002668E4"/>
    <w:rsid w:val="00275E6F"/>
    <w:rsid w:val="002760AB"/>
    <w:rsid w:val="0027684C"/>
    <w:rsid w:val="00282E5F"/>
    <w:rsid w:val="002846D9"/>
    <w:rsid w:val="00290EF7"/>
    <w:rsid w:val="0029282C"/>
    <w:rsid w:val="00295F8B"/>
    <w:rsid w:val="00297F9D"/>
    <w:rsid w:val="002A2530"/>
    <w:rsid w:val="002A6B6E"/>
    <w:rsid w:val="002B17A5"/>
    <w:rsid w:val="002B7B6E"/>
    <w:rsid w:val="002C3EA4"/>
    <w:rsid w:val="002C520D"/>
    <w:rsid w:val="002C676F"/>
    <w:rsid w:val="002C6B1B"/>
    <w:rsid w:val="002D1A2D"/>
    <w:rsid w:val="002D294D"/>
    <w:rsid w:val="002D49D8"/>
    <w:rsid w:val="002D543B"/>
    <w:rsid w:val="002D6CC9"/>
    <w:rsid w:val="002D6D8F"/>
    <w:rsid w:val="002D7C2C"/>
    <w:rsid w:val="002E1BCA"/>
    <w:rsid w:val="002E51A9"/>
    <w:rsid w:val="002E55FA"/>
    <w:rsid w:val="002E57B9"/>
    <w:rsid w:val="002E6969"/>
    <w:rsid w:val="002F03EC"/>
    <w:rsid w:val="002F0FB0"/>
    <w:rsid w:val="002F1EBF"/>
    <w:rsid w:val="002F23F8"/>
    <w:rsid w:val="002F518B"/>
    <w:rsid w:val="002F5C55"/>
    <w:rsid w:val="002F6A4B"/>
    <w:rsid w:val="002F6D52"/>
    <w:rsid w:val="002F797D"/>
    <w:rsid w:val="003008A0"/>
    <w:rsid w:val="00300C97"/>
    <w:rsid w:val="003028C6"/>
    <w:rsid w:val="00304277"/>
    <w:rsid w:val="003134A6"/>
    <w:rsid w:val="00313CF1"/>
    <w:rsid w:val="003204EA"/>
    <w:rsid w:val="00324247"/>
    <w:rsid w:val="00326F06"/>
    <w:rsid w:val="00331948"/>
    <w:rsid w:val="00331CD0"/>
    <w:rsid w:val="00333445"/>
    <w:rsid w:val="00336DDB"/>
    <w:rsid w:val="0033737C"/>
    <w:rsid w:val="00337B0F"/>
    <w:rsid w:val="00345A63"/>
    <w:rsid w:val="0034706F"/>
    <w:rsid w:val="00347BAB"/>
    <w:rsid w:val="0035605D"/>
    <w:rsid w:val="003564D8"/>
    <w:rsid w:val="00362189"/>
    <w:rsid w:val="00362274"/>
    <w:rsid w:val="00362F45"/>
    <w:rsid w:val="00364183"/>
    <w:rsid w:val="003673C8"/>
    <w:rsid w:val="0037078D"/>
    <w:rsid w:val="0037340A"/>
    <w:rsid w:val="0037605C"/>
    <w:rsid w:val="00376CA3"/>
    <w:rsid w:val="00377440"/>
    <w:rsid w:val="00380F1E"/>
    <w:rsid w:val="00381225"/>
    <w:rsid w:val="00382EA8"/>
    <w:rsid w:val="003830D4"/>
    <w:rsid w:val="00386881"/>
    <w:rsid w:val="003874C7"/>
    <w:rsid w:val="00396B52"/>
    <w:rsid w:val="00397F98"/>
    <w:rsid w:val="003A2596"/>
    <w:rsid w:val="003A43AD"/>
    <w:rsid w:val="003A473B"/>
    <w:rsid w:val="003B0CCC"/>
    <w:rsid w:val="003B1825"/>
    <w:rsid w:val="003B2AF9"/>
    <w:rsid w:val="003B4B01"/>
    <w:rsid w:val="003B5012"/>
    <w:rsid w:val="003B527A"/>
    <w:rsid w:val="003B7BF3"/>
    <w:rsid w:val="003C0158"/>
    <w:rsid w:val="003C429B"/>
    <w:rsid w:val="003C50FB"/>
    <w:rsid w:val="003D0D48"/>
    <w:rsid w:val="003D424A"/>
    <w:rsid w:val="003D4C5F"/>
    <w:rsid w:val="003D66A1"/>
    <w:rsid w:val="003E0716"/>
    <w:rsid w:val="003E1D62"/>
    <w:rsid w:val="003E2652"/>
    <w:rsid w:val="003E7536"/>
    <w:rsid w:val="003F2114"/>
    <w:rsid w:val="003F5CEE"/>
    <w:rsid w:val="003F6AB6"/>
    <w:rsid w:val="003F701C"/>
    <w:rsid w:val="00402824"/>
    <w:rsid w:val="00403191"/>
    <w:rsid w:val="00404A86"/>
    <w:rsid w:val="00404CBC"/>
    <w:rsid w:val="00405D94"/>
    <w:rsid w:val="00405EB3"/>
    <w:rsid w:val="00411933"/>
    <w:rsid w:val="0041200F"/>
    <w:rsid w:val="0041576C"/>
    <w:rsid w:val="00417170"/>
    <w:rsid w:val="004172E2"/>
    <w:rsid w:val="00417970"/>
    <w:rsid w:val="00417EDE"/>
    <w:rsid w:val="00420498"/>
    <w:rsid w:val="004242F1"/>
    <w:rsid w:val="00425596"/>
    <w:rsid w:val="00426D83"/>
    <w:rsid w:val="004275DB"/>
    <w:rsid w:val="00427A4D"/>
    <w:rsid w:val="00430819"/>
    <w:rsid w:val="004343F3"/>
    <w:rsid w:val="00437D6B"/>
    <w:rsid w:val="00447BC5"/>
    <w:rsid w:val="00450808"/>
    <w:rsid w:val="00450B72"/>
    <w:rsid w:val="004514C5"/>
    <w:rsid w:val="00453793"/>
    <w:rsid w:val="004544DF"/>
    <w:rsid w:val="00455548"/>
    <w:rsid w:val="00461C38"/>
    <w:rsid w:val="004702E9"/>
    <w:rsid w:val="004710E6"/>
    <w:rsid w:val="00472886"/>
    <w:rsid w:val="0047310A"/>
    <w:rsid w:val="0047391F"/>
    <w:rsid w:val="00476B89"/>
    <w:rsid w:val="00476DAB"/>
    <w:rsid w:val="0048745C"/>
    <w:rsid w:val="0048771E"/>
    <w:rsid w:val="004918F0"/>
    <w:rsid w:val="00493933"/>
    <w:rsid w:val="004950D4"/>
    <w:rsid w:val="0049598F"/>
    <w:rsid w:val="00496712"/>
    <w:rsid w:val="004A1073"/>
    <w:rsid w:val="004A1730"/>
    <w:rsid w:val="004A345E"/>
    <w:rsid w:val="004B1587"/>
    <w:rsid w:val="004B1D07"/>
    <w:rsid w:val="004B2715"/>
    <w:rsid w:val="004B461E"/>
    <w:rsid w:val="004C1893"/>
    <w:rsid w:val="004C19F0"/>
    <w:rsid w:val="004D4AE7"/>
    <w:rsid w:val="004D71BC"/>
    <w:rsid w:val="004E1FDE"/>
    <w:rsid w:val="004E208E"/>
    <w:rsid w:val="004E43F6"/>
    <w:rsid w:val="004F26E7"/>
    <w:rsid w:val="004F3EB3"/>
    <w:rsid w:val="004F55D2"/>
    <w:rsid w:val="00501C06"/>
    <w:rsid w:val="00503A21"/>
    <w:rsid w:val="00504C41"/>
    <w:rsid w:val="00506FBD"/>
    <w:rsid w:val="0051018D"/>
    <w:rsid w:val="005144B4"/>
    <w:rsid w:val="005179E2"/>
    <w:rsid w:val="00520D4B"/>
    <w:rsid w:val="00523946"/>
    <w:rsid w:val="00525EB0"/>
    <w:rsid w:val="00532554"/>
    <w:rsid w:val="00532CE4"/>
    <w:rsid w:val="00532F01"/>
    <w:rsid w:val="00540370"/>
    <w:rsid w:val="005411EE"/>
    <w:rsid w:val="005416BC"/>
    <w:rsid w:val="00542B72"/>
    <w:rsid w:val="00543BF4"/>
    <w:rsid w:val="00546935"/>
    <w:rsid w:val="00551561"/>
    <w:rsid w:val="00552857"/>
    <w:rsid w:val="00553B74"/>
    <w:rsid w:val="00553FF1"/>
    <w:rsid w:val="005562F4"/>
    <w:rsid w:val="00557140"/>
    <w:rsid w:val="005575C7"/>
    <w:rsid w:val="005611E8"/>
    <w:rsid w:val="00567511"/>
    <w:rsid w:val="00567E76"/>
    <w:rsid w:val="00571A5A"/>
    <w:rsid w:val="00572B3B"/>
    <w:rsid w:val="00572FE0"/>
    <w:rsid w:val="00583340"/>
    <w:rsid w:val="00584BE8"/>
    <w:rsid w:val="00584BF9"/>
    <w:rsid w:val="00591D84"/>
    <w:rsid w:val="00592BFA"/>
    <w:rsid w:val="005933EC"/>
    <w:rsid w:val="00594DD9"/>
    <w:rsid w:val="0059518E"/>
    <w:rsid w:val="005965E8"/>
    <w:rsid w:val="005A0680"/>
    <w:rsid w:val="005A0937"/>
    <w:rsid w:val="005A3024"/>
    <w:rsid w:val="005A437B"/>
    <w:rsid w:val="005A578B"/>
    <w:rsid w:val="005B0A08"/>
    <w:rsid w:val="005B143F"/>
    <w:rsid w:val="005B273F"/>
    <w:rsid w:val="005B6E32"/>
    <w:rsid w:val="005C212A"/>
    <w:rsid w:val="005C3311"/>
    <w:rsid w:val="005D1C57"/>
    <w:rsid w:val="005D4248"/>
    <w:rsid w:val="005E0653"/>
    <w:rsid w:val="005E0D7D"/>
    <w:rsid w:val="005E0FD4"/>
    <w:rsid w:val="005E3F28"/>
    <w:rsid w:val="005E4F30"/>
    <w:rsid w:val="005E5AC3"/>
    <w:rsid w:val="005F1FF0"/>
    <w:rsid w:val="005F487D"/>
    <w:rsid w:val="0060483C"/>
    <w:rsid w:val="00604F54"/>
    <w:rsid w:val="00610CCE"/>
    <w:rsid w:val="006143E2"/>
    <w:rsid w:val="00615F57"/>
    <w:rsid w:val="006174A0"/>
    <w:rsid w:val="00620339"/>
    <w:rsid w:val="00620A86"/>
    <w:rsid w:val="0062138C"/>
    <w:rsid w:val="00621D8E"/>
    <w:rsid w:val="0062393F"/>
    <w:rsid w:val="00625F9C"/>
    <w:rsid w:val="00626FF0"/>
    <w:rsid w:val="00627632"/>
    <w:rsid w:val="00627BF5"/>
    <w:rsid w:val="00631165"/>
    <w:rsid w:val="00631A8C"/>
    <w:rsid w:val="00633540"/>
    <w:rsid w:val="00635E45"/>
    <w:rsid w:val="00636068"/>
    <w:rsid w:val="00636603"/>
    <w:rsid w:val="00640728"/>
    <w:rsid w:val="00644457"/>
    <w:rsid w:val="006455D4"/>
    <w:rsid w:val="00645868"/>
    <w:rsid w:val="00646B36"/>
    <w:rsid w:val="00650775"/>
    <w:rsid w:val="0065219A"/>
    <w:rsid w:val="0066006E"/>
    <w:rsid w:val="00660ACF"/>
    <w:rsid w:val="00661248"/>
    <w:rsid w:val="00661A41"/>
    <w:rsid w:val="006635AC"/>
    <w:rsid w:val="0066403E"/>
    <w:rsid w:val="006671DC"/>
    <w:rsid w:val="006675EE"/>
    <w:rsid w:val="0067110A"/>
    <w:rsid w:val="006713B4"/>
    <w:rsid w:val="00671FD9"/>
    <w:rsid w:val="00673A95"/>
    <w:rsid w:val="00673BBA"/>
    <w:rsid w:val="00691851"/>
    <w:rsid w:val="006972A3"/>
    <w:rsid w:val="006A13CC"/>
    <w:rsid w:val="006B0FE9"/>
    <w:rsid w:val="006B358E"/>
    <w:rsid w:val="006B3AEA"/>
    <w:rsid w:val="006B3C72"/>
    <w:rsid w:val="006B50B7"/>
    <w:rsid w:val="006B7A48"/>
    <w:rsid w:val="006C0E60"/>
    <w:rsid w:val="006C1517"/>
    <w:rsid w:val="006C1A4E"/>
    <w:rsid w:val="006C1BD1"/>
    <w:rsid w:val="006C582E"/>
    <w:rsid w:val="006C69F5"/>
    <w:rsid w:val="006C7192"/>
    <w:rsid w:val="006D0A47"/>
    <w:rsid w:val="006D1D18"/>
    <w:rsid w:val="006D1FA7"/>
    <w:rsid w:val="006D201C"/>
    <w:rsid w:val="006D2C87"/>
    <w:rsid w:val="006D5269"/>
    <w:rsid w:val="006E0CF7"/>
    <w:rsid w:val="006E165C"/>
    <w:rsid w:val="006E29C6"/>
    <w:rsid w:val="006E46FE"/>
    <w:rsid w:val="006E49F5"/>
    <w:rsid w:val="006F04EF"/>
    <w:rsid w:val="006F069D"/>
    <w:rsid w:val="006F2531"/>
    <w:rsid w:val="006F4B02"/>
    <w:rsid w:val="006F4BA8"/>
    <w:rsid w:val="006F63E5"/>
    <w:rsid w:val="0070286D"/>
    <w:rsid w:val="00702B04"/>
    <w:rsid w:val="00704D7A"/>
    <w:rsid w:val="00710811"/>
    <w:rsid w:val="00710910"/>
    <w:rsid w:val="007152D2"/>
    <w:rsid w:val="00715E4D"/>
    <w:rsid w:val="00717ACF"/>
    <w:rsid w:val="00721876"/>
    <w:rsid w:val="0072610A"/>
    <w:rsid w:val="00727155"/>
    <w:rsid w:val="007341F6"/>
    <w:rsid w:val="00735F7A"/>
    <w:rsid w:val="00740E80"/>
    <w:rsid w:val="00754E81"/>
    <w:rsid w:val="00756E35"/>
    <w:rsid w:val="00756EBE"/>
    <w:rsid w:val="007616BA"/>
    <w:rsid w:val="007625B2"/>
    <w:rsid w:val="007628CA"/>
    <w:rsid w:val="00764612"/>
    <w:rsid w:val="0077016F"/>
    <w:rsid w:val="007703E2"/>
    <w:rsid w:val="00770AF2"/>
    <w:rsid w:val="007718C9"/>
    <w:rsid w:val="00772E37"/>
    <w:rsid w:val="00773007"/>
    <w:rsid w:val="00774599"/>
    <w:rsid w:val="007764C5"/>
    <w:rsid w:val="00776D41"/>
    <w:rsid w:val="0078000B"/>
    <w:rsid w:val="00780B2F"/>
    <w:rsid w:val="00780E8B"/>
    <w:rsid w:val="00782CEF"/>
    <w:rsid w:val="0078358A"/>
    <w:rsid w:val="00783B11"/>
    <w:rsid w:val="0078495C"/>
    <w:rsid w:val="00785774"/>
    <w:rsid w:val="00786592"/>
    <w:rsid w:val="00786A4E"/>
    <w:rsid w:val="007900AB"/>
    <w:rsid w:val="00791F01"/>
    <w:rsid w:val="00796DAA"/>
    <w:rsid w:val="00797752"/>
    <w:rsid w:val="00797D23"/>
    <w:rsid w:val="007A011B"/>
    <w:rsid w:val="007A327A"/>
    <w:rsid w:val="007A4375"/>
    <w:rsid w:val="007A5254"/>
    <w:rsid w:val="007B133B"/>
    <w:rsid w:val="007B1E5E"/>
    <w:rsid w:val="007B3254"/>
    <w:rsid w:val="007B38A0"/>
    <w:rsid w:val="007B3CB7"/>
    <w:rsid w:val="007B4CC9"/>
    <w:rsid w:val="007B5D70"/>
    <w:rsid w:val="007B6500"/>
    <w:rsid w:val="007C3050"/>
    <w:rsid w:val="007C3FB2"/>
    <w:rsid w:val="007C50D4"/>
    <w:rsid w:val="007C5B82"/>
    <w:rsid w:val="007C7DA3"/>
    <w:rsid w:val="007D4C84"/>
    <w:rsid w:val="007D7645"/>
    <w:rsid w:val="007D7AEA"/>
    <w:rsid w:val="007E0057"/>
    <w:rsid w:val="007E1ED5"/>
    <w:rsid w:val="007E471A"/>
    <w:rsid w:val="007E4AC3"/>
    <w:rsid w:val="007E7306"/>
    <w:rsid w:val="007E7ED3"/>
    <w:rsid w:val="007F1FB0"/>
    <w:rsid w:val="008021B9"/>
    <w:rsid w:val="00803D0D"/>
    <w:rsid w:val="00806A3D"/>
    <w:rsid w:val="00811186"/>
    <w:rsid w:val="00811FE2"/>
    <w:rsid w:val="0081232F"/>
    <w:rsid w:val="00812F9F"/>
    <w:rsid w:val="00817F9B"/>
    <w:rsid w:val="008229A8"/>
    <w:rsid w:val="00822E39"/>
    <w:rsid w:val="008250C2"/>
    <w:rsid w:val="00825259"/>
    <w:rsid w:val="0082590B"/>
    <w:rsid w:val="0082739B"/>
    <w:rsid w:val="00835DF7"/>
    <w:rsid w:val="00836C60"/>
    <w:rsid w:val="00840C8F"/>
    <w:rsid w:val="008413ED"/>
    <w:rsid w:val="0084177E"/>
    <w:rsid w:val="008448FC"/>
    <w:rsid w:val="0084548E"/>
    <w:rsid w:val="00845E32"/>
    <w:rsid w:val="00851E51"/>
    <w:rsid w:val="00853D70"/>
    <w:rsid w:val="00854273"/>
    <w:rsid w:val="0086221F"/>
    <w:rsid w:val="00864A2A"/>
    <w:rsid w:val="00866D1F"/>
    <w:rsid w:val="00870CF0"/>
    <w:rsid w:val="00872362"/>
    <w:rsid w:val="00874654"/>
    <w:rsid w:val="00874FC9"/>
    <w:rsid w:val="0087777E"/>
    <w:rsid w:val="00880069"/>
    <w:rsid w:val="00881038"/>
    <w:rsid w:val="008814AD"/>
    <w:rsid w:val="008826AA"/>
    <w:rsid w:val="008855E1"/>
    <w:rsid w:val="00885E87"/>
    <w:rsid w:val="00892F18"/>
    <w:rsid w:val="008944B3"/>
    <w:rsid w:val="008944E9"/>
    <w:rsid w:val="008968A5"/>
    <w:rsid w:val="008A3700"/>
    <w:rsid w:val="008A450F"/>
    <w:rsid w:val="008A53F6"/>
    <w:rsid w:val="008A561F"/>
    <w:rsid w:val="008B14D8"/>
    <w:rsid w:val="008B2FEF"/>
    <w:rsid w:val="008B49BD"/>
    <w:rsid w:val="008B5112"/>
    <w:rsid w:val="008B57EE"/>
    <w:rsid w:val="008B7B25"/>
    <w:rsid w:val="008C1D5C"/>
    <w:rsid w:val="008C5309"/>
    <w:rsid w:val="008C550D"/>
    <w:rsid w:val="008C6DA7"/>
    <w:rsid w:val="008D0911"/>
    <w:rsid w:val="008D2980"/>
    <w:rsid w:val="008D3162"/>
    <w:rsid w:val="008D3D4A"/>
    <w:rsid w:val="008D6B13"/>
    <w:rsid w:val="008E0689"/>
    <w:rsid w:val="008E0D0D"/>
    <w:rsid w:val="008E633F"/>
    <w:rsid w:val="008F07A8"/>
    <w:rsid w:val="008F2592"/>
    <w:rsid w:val="00902124"/>
    <w:rsid w:val="00902F08"/>
    <w:rsid w:val="00905BEA"/>
    <w:rsid w:val="009065B1"/>
    <w:rsid w:val="00906CB2"/>
    <w:rsid w:val="00911342"/>
    <w:rsid w:val="00916002"/>
    <w:rsid w:val="009161A8"/>
    <w:rsid w:val="009210C7"/>
    <w:rsid w:val="009212A7"/>
    <w:rsid w:val="009228BA"/>
    <w:rsid w:val="0092615B"/>
    <w:rsid w:val="009266DB"/>
    <w:rsid w:val="00926BEE"/>
    <w:rsid w:val="00927912"/>
    <w:rsid w:val="0093336E"/>
    <w:rsid w:val="009411A9"/>
    <w:rsid w:val="00941B06"/>
    <w:rsid w:val="0094232A"/>
    <w:rsid w:val="00944698"/>
    <w:rsid w:val="00944A25"/>
    <w:rsid w:val="009454BB"/>
    <w:rsid w:val="0096063C"/>
    <w:rsid w:val="009643D3"/>
    <w:rsid w:val="00964ADD"/>
    <w:rsid w:val="00965A69"/>
    <w:rsid w:val="00965C3E"/>
    <w:rsid w:val="00971244"/>
    <w:rsid w:val="009713A7"/>
    <w:rsid w:val="00972016"/>
    <w:rsid w:val="00972952"/>
    <w:rsid w:val="009730CD"/>
    <w:rsid w:val="00973391"/>
    <w:rsid w:val="00976204"/>
    <w:rsid w:val="009779E9"/>
    <w:rsid w:val="00980BD0"/>
    <w:rsid w:val="00981B1A"/>
    <w:rsid w:val="009850F3"/>
    <w:rsid w:val="0098572D"/>
    <w:rsid w:val="0098756C"/>
    <w:rsid w:val="0099032A"/>
    <w:rsid w:val="0099051E"/>
    <w:rsid w:val="0099196C"/>
    <w:rsid w:val="009925A2"/>
    <w:rsid w:val="00997C09"/>
    <w:rsid w:val="00997EE9"/>
    <w:rsid w:val="009A01B2"/>
    <w:rsid w:val="009A32E1"/>
    <w:rsid w:val="009A441F"/>
    <w:rsid w:val="009A4D9B"/>
    <w:rsid w:val="009A71F7"/>
    <w:rsid w:val="009B2260"/>
    <w:rsid w:val="009B3BE2"/>
    <w:rsid w:val="009B42D0"/>
    <w:rsid w:val="009B7105"/>
    <w:rsid w:val="009C35C0"/>
    <w:rsid w:val="009C5DA6"/>
    <w:rsid w:val="009C6843"/>
    <w:rsid w:val="009D68C4"/>
    <w:rsid w:val="009E01C9"/>
    <w:rsid w:val="009E14E1"/>
    <w:rsid w:val="009E1A57"/>
    <w:rsid w:val="009E1DDB"/>
    <w:rsid w:val="009E3C0B"/>
    <w:rsid w:val="009E7803"/>
    <w:rsid w:val="009F08CA"/>
    <w:rsid w:val="009F47E3"/>
    <w:rsid w:val="009F5641"/>
    <w:rsid w:val="009F6E61"/>
    <w:rsid w:val="009F7198"/>
    <w:rsid w:val="00A02547"/>
    <w:rsid w:val="00A04821"/>
    <w:rsid w:val="00A04C9C"/>
    <w:rsid w:val="00A050C3"/>
    <w:rsid w:val="00A15CA6"/>
    <w:rsid w:val="00A17F89"/>
    <w:rsid w:val="00A25529"/>
    <w:rsid w:val="00A30BE7"/>
    <w:rsid w:val="00A34CE6"/>
    <w:rsid w:val="00A35E75"/>
    <w:rsid w:val="00A35EF1"/>
    <w:rsid w:val="00A37361"/>
    <w:rsid w:val="00A43A12"/>
    <w:rsid w:val="00A46AE8"/>
    <w:rsid w:val="00A51F84"/>
    <w:rsid w:val="00A52453"/>
    <w:rsid w:val="00A528CF"/>
    <w:rsid w:val="00A61222"/>
    <w:rsid w:val="00A617E5"/>
    <w:rsid w:val="00A721DC"/>
    <w:rsid w:val="00A72624"/>
    <w:rsid w:val="00A72637"/>
    <w:rsid w:val="00A72D5D"/>
    <w:rsid w:val="00A73737"/>
    <w:rsid w:val="00A74B21"/>
    <w:rsid w:val="00A77AD3"/>
    <w:rsid w:val="00A77AF9"/>
    <w:rsid w:val="00A804F5"/>
    <w:rsid w:val="00A8158C"/>
    <w:rsid w:val="00A8352F"/>
    <w:rsid w:val="00A83E97"/>
    <w:rsid w:val="00A84651"/>
    <w:rsid w:val="00A8587B"/>
    <w:rsid w:val="00A91A69"/>
    <w:rsid w:val="00A97454"/>
    <w:rsid w:val="00AA27BF"/>
    <w:rsid w:val="00AA7705"/>
    <w:rsid w:val="00AB2155"/>
    <w:rsid w:val="00AB750F"/>
    <w:rsid w:val="00AB7579"/>
    <w:rsid w:val="00AC2175"/>
    <w:rsid w:val="00AC3F0F"/>
    <w:rsid w:val="00AC53F8"/>
    <w:rsid w:val="00AD0FAC"/>
    <w:rsid w:val="00AD2544"/>
    <w:rsid w:val="00AD4793"/>
    <w:rsid w:val="00AE2566"/>
    <w:rsid w:val="00AE3803"/>
    <w:rsid w:val="00AE5242"/>
    <w:rsid w:val="00AE5259"/>
    <w:rsid w:val="00AE7E3B"/>
    <w:rsid w:val="00AF011B"/>
    <w:rsid w:val="00AF0221"/>
    <w:rsid w:val="00AF268D"/>
    <w:rsid w:val="00AF344B"/>
    <w:rsid w:val="00AF38CF"/>
    <w:rsid w:val="00AF3B81"/>
    <w:rsid w:val="00AF4C56"/>
    <w:rsid w:val="00AF57FD"/>
    <w:rsid w:val="00B00111"/>
    <w:rsid w:val="00B02DA7"/>
    <w:rsid w:val="00B0388A"/>
    <w:rsid w:val="00B0497F"/>
    <w:rsid w:val="00B04AD4"/>
    <w:rsid w:val="00B06CBF"/>
    <w:rsid w:val="00B10363"/>
    <w:rsid w:val="00B11E25"/>
    <w:rsid w:val="00B17152"/>
    <w:rsid w:val="00B1766D"/>
    <w:rsid w:val="00B20083"/>
    <w:rsid w:val="00B20E6A"/>
    <w:rsid w:val="00B23367"/>
    <w:rsid w:val="00B24C5C"/>
    <w:rsid w:val="00B252B3"/>
    <w:rsid w:val="00B254E3"/>
    <w:rsid w:val="00B25738"/>
    <w:rsid w:val="00B26031"/>
    <w:rsid w:val="00B27AC5"/>
    <w:rsid w:val="00B27E73"/>
    <w:rsid w:val="00B322BD"/>
    <w:rsid w:val="00B32A84"/>
    <w:rsid w:val="00B370D3"/>
    <w:rsid w:val="00B37380"/>
    <w:rsid w:val="00B4004E"/>
    <w:rsid w:val="00B40456"/>
    <w:rsid w:val="00B4055E"/>
    <w:rsid w:val="00B413D5"/>
    <w:rsid w:val="00B419AA"/>
    <w:rsid w:val="00B41A67"/>
    <w:rsid w:val="00B423E9"/>
    <w:rsid w:val="00B46DAE"/>
    <w:rsid w:val="00B51998"/>
    <w:rsid w:val="00B51BB7"/>
    <w:rsid w:val="00B560C7"/>
    <w:rsid w:val="00B574ED"/>
    <w:rsid w:val="00B579DB"/>
    <w:rsid w:val="00B616BC"/>
    <w:rsid w:val="00B61AC9"/>
    <w:rsid w:val="00B649E0"/>
    <w:rsid w:val="00B64A56"/>
    <w:rsid w:val="00B66120"/>
    <w:rsid w:val="00B677FF"/>
    <w:rsid w:val="00B67A63"/>
    <w:rsid w:val="00B76AA1"/>
    <w:rsid w:val="00B76AC1"/>
    <w:rsid w:val="00B90E2E"/>
    <w:rsid w:val="00B921C6"/>
    <w:rsid w:val="00B92A62"/>
    <w:rsid w:val="00B93E2D"/>
    <w:rsid w:val="00B9736A"/>
    <w:rsid w:val="00B97A7A"/>
    <w:rsid w:val="00BA71BB"/>
    <w:rsid w:val="00BA79E5"/>
    <w:rsid w:val="00BB29EA"/>
    <w:rsid w:val="00BB59C2"/>
    <w:rsid w:val="00BB5BCF"/>
    <w:rsid w:val="00BC2BC8"/>
    <w:rsid w:val="00BC3BCB"/>
    <w:rsid w:val="00BD0BF0"/>
    <w:rsid w:val="00BD2B8A"/>
    <w:rsid w:val="00BD4055"/>
    <w:rsid w:val="00BD4F10"/>
    <w:rsid w:val="00BD698F"/>
    <w:rsid w:val="00BE0063"/>
    <w:rsid w:val="00BE0C57"/>
    <w:rsid w:val="00BE15E0"/>
    <w:rsid w:val="00BE19BF"/>
    <w:rsid w:val="00BE6915"/>
    <w:rsid w:val="00BE6BB6"/>
    <w:rsid w:val="00BF1BF6"/>
    <w:rsid w:val="00BF4E3A"/>
    <w:rsid w:val="00C003CD"/>
    <w:rsid w:val="00C003E3"/>
    <w:rsid w:val="00C038C2"/>
    <w:rsid w:val="00C038DB"/>
    <w:rsid w:val="00C041DE"/>
    <w:rsid w:val="00C06E6E"/>
    <w:rsid w:val="00C105D7"/>
    <w:rsid w:val="00C1183C"/>
    <w:rsid w:val="00C16F86"/>
    <w:rsid w:val="00C30C3E"/>
    <w:rsid w:val="00C421EE"/>
    <w:rsid w:val="00C435FA"/>
    <w:rsid w:val="00C45435"/>
    <w:rsid w:val="00C45FC6"/>
    <w:rsid w:val="00C52D36"/>
    <w:rsid w:val="00C54AA5"/>
    <w:rsid w:val="00C62B76"/>
    <w:rsid w:val="00C64FAD"/>
    <w:rsid w:val="00C676E6"/>
    <w:rsid w:val="00C7301F"/>
    <w:rsid w:val="00C736E7"/>
    <w:rsid w:val="00C74723"/>
    <w:rsid w:val="00C75106"/>
    <w:rsid w:val="00C75869"/>
    <w:rsid w:val="00C76B8E"/>
    <w:rsid w:val="00C77B60"/>
    <w:rsid w:val="00C809ED"/>
    <w:rsid w:val="00C80DB6"/>
    <w:rsid w:val="00C81054"/>
    <w:rsid w:val="00C811F6"/>
    <w:rsid w:val="00C82D95"/>
    <w:rsid w:val="00C8312E"/>
    <w:rsid w:val="00C83994"/>
    <w:rsid w:val="00C8565D"/>
    <w:rsid w:val="00C92A64"/>
    <w:rsid w:val="00C95659"/>
    <w:rsid w:val="00C97702"/>
    <w:rsid w:val="00CA3D20"/>
    <w:rsid w:val="00CA4080"/>
    <w:rsid w:val="00CA46BA"/>
    <w:rsid w:val="00CA4C11"/>
    <w:rsid w:val="00CA50EA"/>
    <w:rsid w:val="00CB0E79"/>
    <w:rsid w:val="00CB16AB"/>
    <w:rsid w:val="00CB1DFE"/>
    <w:rsid w:val="00CB3330"/>
    <w:rsid w:val="00CB67C2"/>
    <w:rsid w:val="00CC3DEF"/>
    <w:rsid w:val="00CC73A9"/>
    <w:rsid w:val="00CC754C"/>
    <w:rsid w:val="00CD17B8"/>
    <w:rsid w:val="00CD20BE"/>
    <w:rsid w:val="00CD278B"/>
    <w:rsid w:val="00CD3493"/>
    <w:rsid w:val="00CD4CB9"/>
    <w:rsid w:val="00CD512E"/>
    <w:rsid w:val="00CD56C5"/>
    <w:rsid w:val="00CD7064"/>
    <w:rsid w:val="00CD7A63"/>
    <w:rsid w:val="00CE497C"/>
    <w:rsid w:val="00CE5425"/>
    <w:rsid w:val="00CF18DE"/>
    <w:rsid w:val="00CF42BD"/>
    <w:rsid w:val="00CF520A"/>
    <w:rsid w:val="00D047A1"/>
    <w:rsid w:val="00D15065"/>
    <w:rsid w:val="00D21723"/>
    <w:rsid w:val="00D23F8B"/>
    <w:rsid w:val="00D24420"/>
    <w:rsid w:val="00D24FF1"/>
    <w:rsid w:val="00D26A44"/>
    <w:rsid w:val="00D30582"/>
    <w:rsid w:val="00D3154F"/>
    <w:rsid w:val="00D339CA"/>
    <w:rsid w:val="00D34468"/>
    <w:rsid w:val="00D34E83"/>
    <w:rsid w:val="00D413F5"/>
    <w:rsid w:val="00D44485"/>
    <w:rsid w:val="00D44F98"/>
    <w:rsid w:val="00D46C60"/>
    <w:rsid w:val="00D47BD3"/>
    <w:rsid w:val="00D518A5"/>
    <w:rsid w:val="00D52CE4"/>
    <w:rsid w:val="00D53FFF"/>
    <w:rsid w:val="00D54F32"/>
    <w:rsid w:val="00D56843"/>
    <w:rsid w:val="00D6393F"/>
    <w:rsid w:val="00D667F3"/>
    <w:rsid w:val="00D70711"/>
    <w:rsid w:val="00D74F2A"/>
    <w:rsid w:val="00D75820"/>
    <w:rsid w:val="00D76BF9"/>
    <w:rsid w:val="00D8552B"/>
    <w:rsid w:val="00D86310"/>
    <w:rsid w:val="00D87A13"/>
    <w:rsid w:val="00D90D4F"/>
    <w:rsid w:val="00D9504F"/>
    <w:rsid w:val="00D9773F"/>
    <w:rsid w:val="00DA0716"/>
    <w:rsid w:val="00DA1B32"/>
    <w:rsid w:val="00DA28A1"/>
    <w:rsid w:val="00DB26EE"/>
    <w:rsid w:val="00DB30F0"/>
    <w:rsid w:val="00DB58E0"/>
    <w:rsid w:val="00DC03B9"/>
    <w:rsid w:val="00DC070F"/>
    <w:rsid w:val="00DC1BD1"/>
    <w:rsid w:val="00DC2585"/>
    <w:rsid w:val="00DC31AD"/>
    <w:rsid w:val="00DC4257"/>
    <w:rsid w:val="00DC6DAB"/>
    <w:rsid w:val="00DC7016"/>
    <w:rsid w:val="00DD3031"/>
    <w:rsid w:val="00DD5866"/>
    <w:rsid w:val="00DD7435"/>
    <w:rsid w:val="00DE070F"/>
    <w:rsid w:val="00DE0859"/>
    <w:rsid w:val="00DE116F"/>
    <w:rsid w:val="00DE54A7"/>
    <w:rsid w:val="00DE5E0C"/>
    <w:rsid w:val="00DF1870"/>
    <w:rsid w:val="00DF5871"/>
    <w:rsid w:val="00E04DBA"/>
    <w:rsid w:val="00E059F8"/>
    <w:rsid w:val="00E147B4"/>
    <w:rsid w:val="00E14BCC"/>
    <w:rsid w:val="00E15555"/>
    <w:rsid w:val="00E17689"/>
    <w:rsid w:val="00E215D3"/>
    <w:rsid w:val="00E21D8F"/>
    <w:rsid w:val="00E22A86"/>
    <w:rsid w:val="00E26C79"/>
    <w:rsid w:val="00E27267"/>
    <w:rsid w:val="00E30135"/>
    <w:rsid w:val="00E353FC"/>
    <w:rsid w:val="00E36A4C"/>
    <w:rsid w:val="00E378F0"/>
    <w:rsid w:val="00E459C8"/>
    <w:rsid w:val="00E4614A"/>
    <w:rsid w:val="00E46B2B"/>
    <w:rsid w:val="00E50F03"/>
    <w:rsid w:val="00E5344F"/>
    <w:rsid w:val="00E5659A"/>
    <w:rsid w:val="00E56838"/>
    <w:rsid w:val="00E57B75"/>
    <w:rsid w:val="00E63051"/>
    <w:rsid w:val="00E673E8"/>
    <w:rsid w:val="00E70942"/>
    <w:rsid w:val="00E73BD6"/>
    <w:rsid w:val="00E757EE"/>
    <w:rsid w:val="00E7671A"/>
    <w:rsid w:val="00E76E59"/>
    <w:rsid w:val="00E8185D"/>
    <w:rsid w:val="00E8319C"/>
    <w:rsid w:val="00E842CB"/>
    <w:rsid w:val="00E84949"/>
    <w:rsid w:val="00E8662F"/>
    <w:rsid w:val="00E9040C"/>
    <w:rsid w:val="00E91B04"/>
    <w:rsid w:val="00E92499"/>
    <w:rsid w:val="00E9363B"/>
    <w:rsid w:val="00E97E30"/>
    <w:rsid w:val="00EA0E27"/>
    <w:rsid w:val="00EA19F9"/>
    <w:rsid w:val="00EA23A3"/>
    <w:rsid w:val="00EA3483"/>
    <w:rsid w:val="00EA460D"/>
    <w:rsid w:val="00EA5B39"/>
    <w:rsid w:val="00EB126D"/>
    <w:rsid w:val="00EB413F"/>
    <w:rsid w:val="00EB47E3"/>
    <w:rsid w:val="00EB7FC0"/>
    <w:rsid w:val="00EC464B"/>
    <w:rsid w:val="00EC5E14"/>
    <w:rsid w:val="00ED4912"/>
    <w:rsid w:val="00ED6D9A"/>
    <w:rsid w:val="00EE44E4"/>
    <w:rsid w:val="00EE5FA0"/>
    <w:rsid w:val="00EE6AB2"/>
    <w:rsid w:val="00EF1F53"/>
    <w:rsid w:val="00EF2B1E"/>
    <w:rsid w:val="00EF51EE"/>
    <w:rsid w:val="00EF5211"/>
    <w:rsid w:val="00EF7863"/>
    <w:rsid w:val="00EF7EE2"/>
    <w:rsid w:val="00F01206"/>
    <w:rsid w:val="00F0175F"/>
    <w:rsid w:val="00F02C9C"/>
    <w:rsid w:val="00F03AFA"/>
    <w:rsid w:val="00F112C3"/>
    <w:rsid w:val="00F115DF"/>
    <w:rsid w:val="00F15190"/>
    <w:rsid w:val="00F165F8"/>
    <w:rsid w:val="00F1670B"/>
    <w:rsid w:val="00F20C35"/>
    <w:rsid w:val="00F2272B"/>
    <w:rsid w:val="00F2358E"/>
    <w:rsid w:val="00F24C01"/>
    <w:rsid w:val="00F261D6"/>
    <w:rsid w:val="00F31906"/>
    <w:rsid w:val="00F3283E"/>
    <w:rsid w:val="00F32D7B"/>
    <w:rsid w:val="00F32EC5"/>
    <w:rsid w:val="00F34159"/>
    <w:rsid w:val="00F3587F"/>
    <w:rsid w:val="00F3733C"/>
    <w:rsid w:val="00F442B0"/>
    <w:rsid w:val="00F454E2"/>
    <w:rsid w:val="00F520DB"/>
    <w:rsid w:val="00F542D8"/>
    <w:rsid w:val="00F56373"/>
    <w:rsid w:val="00F62F39"/>
    <w:rsid w:val="00F645B1"/>
    <w:rsid w:val="00F7189F"/>
    <w:rsid w:val="00F814C1"/>
    <w:rsid w:val="00F82F09"/>
    <w:rsid w:val="00F877BF"/>
    <w:rsid w:val="00F87AB2"/>
    <w:rsid w:val="00F945A3"/>
    <w:rsid w:val="00FA005F"/>
    <w:rsid w:val="00FA0793"/>
    <w:rsid w:val="00FA08C7"/>
    <w:rsid w:val="00FA0D0E"/>
    <w:rsid w:val="00FA11DA"/>
    <w:rsid w:val="00FA3230"/>
    <w:rsid w:val="00FA3B98"/>
    <w:rsid w:val="00FA5812"/>
    <w:rsid w:val="00FA5D7B"/>
    <w:rsid w:val="00FA6607"/>
    <w:rsid w:val="00FB03A1"/>
    <w:rsid w:val="00FB4839"/>
    <w:rsid w:val="00FB6289"/>
    <w:rsid w:val="00FB76E5"/>
    <w:rsid w:val="00FB7A01"/>
    <w:rsid w:val="00FB7B9D"/>
    <w:rsid w:val="00FC3796"/>
    <w:rsid w:val="00FC560C"/>
    <w:rsid w:val="00FD05D8"/>
    <w:rsid w:val="00FD0C4A"/>
    <w:rsid w:val="00FD2C0A"/>
    <w:rsid w:val="00FD327C"/>
    <w:rsid w:val="00FD38D9"/>
    <w:rsid w:val="00FD4C08"/>
    <w:rsid w:val="00FD5AC1"/>
    <w:rsid w:val="00FD60F3"/>
    <w:rsid w:val="00FD66EA"/>
    <w:rsid w:val="00FD7BC1"/>
    <w:rsid w:val="00FE0354"/>
    <w:rsid w:val="00FE047B"/>
    <w:rsid w:val="00FE2CE8"/>
    <w:rsid w:val="00FE5EFC"/>
    <w:rsid w:val="00FE6381"/>
    <w:rsid w:val="00FF0FBC"/>
    <w:rsid w:val="00FF6D9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1726D8"/>
  <w15:docId w15:val="{DCBC40A8-861F-44C2-8B10-2A718CF07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rFonts w:ascii="Arial" w:hAnsi="Arial"/>
      <w:color w:val="000000"/>
      <w:sz w:val="24"/>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szCs w:val="24"/>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NormalWeb">
    <w:name w:val="Normal (Web)"/>
    <w:basedOn w:val="Normal"/>
    <w:uiPriority w:val="99"/>
    <w:semiHidden/>
    <w:unhideWhenUsed/>
    <w:rsid w:val="00F261D6"/>
    <w:pPr>
      <w:spacing w:before="100" w:beforeAutospacing="1" w:after="100" w:afterAutospacing="1"/>
    </w:pPr>
    <w:rPr>
      <w:rFonts w:ascii="Times New Roman" w:hAnsi="Times New Roman"/>
      <w:color w:val="auto"/>
      <w:szCs w:val="24"/>
      <w:lang w:val="es-CO" w:eastAsia="es-CO"/>
    </w:rPr>
  </w:style>
  <w:style w:type="paragraph" w:styleId="Textonotapie">
    <w:name w:val="footnote text"/>
    <w:basedOn w:val="Normal"/>
    <w:link w:val="TextonotapieCar"/>
    <w:uiPriority w:val="99"/>
    <w:semiHidden/>
    <w:unhideWhenUsed/>
    <w:rsid w:val="003D424A"/>
    <w:rPr>
      <w:sz w:val="20"/>
    </w:rPr>
  </w:style>
  <w:style w:type="character" w:customStyle="1" w:styleId="TextonotapieCar">
    <w:name w:val="Texto nota pie Car"/>
    <w:basedOn w:val="Fuentedeprrafopredeter"/>
    <w:link w:val="Textonotapie"/>
    <w:uiPriority w:val="99"/>
    <w:semiHidden/>
    <w:rsid w:val="003D424A"/>
    <w:rPr>
      <w:rFonts w:ascii="Arial" w:hAnsi="Arial"/>
      <w:color w:val="000000"/>
    </w:rPr>
  </w:style>
  <w:style w:type="character" w:styleId="Refdenotaalpie">
    <w:name w:val="footnote reference"/>
    <w:basedOn w:val="Fuentedeprrafopredeter"/>
    <w:uiPriority w:val="99"/>
    <w:semiHidden/>
    <w:unhideWhenUsed/>
    <w:rsid w:val="003D424A"/>
    <w:rPr>
      <w:vertAlign w:val="superscript"/>
    </w:rPr>
  </w:style>
  <w:style w:type="character" w:styleId="Textoennegrita">
    <w:name w:val="Strong"/>
    <w:basedOn w:val="Fuentedeprrafopredeter"/>
    <w:uiPriority w:val="22"/>
    <w:qFormat/>
    <w:locked/>
    <w:rsid w:val="009411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97355">
      <w:bodyDiv w:val="1"/>
      <w:marLeft w:val="0"/>
      <w:marRight w:val="0"/>
      <w:marTop w:val="0"/>
      <w:marBottom w:val="0"/>
      <w:divBdr>
        <w:top w:val="none" w:sz="0" w:space="0" w:color="auto"/>
        <w:left w:val="none" w:sz="0" w:space="0" w:color="auto"/>
        <w:bottom w:val="none" w:sz="0" w:space="0" w:color="auto"/>
        <w:right w:val="none" w:sz="0" w:space="0" w:color="auto"/>
      </w:divBdr>
    </w:div>
    <w:div w:id="284696274">
      <w:bodyDiv w:val="1"/>
      <w:marLeft w:val="0"/>
      <w:marRight w:val="0"/>
      <w:marTop w:val="0"/>
      <w:marBottom w:val="0"/>
      <w:divBdr>
        <w:top w:val="none" w:sz="0" w:space="0" w:color="auto"/>
        <w:left w:val="none" w:sz="0" w:space="0" w:color="auto"/>
        <w:bottom w:val="none" w:sz="0" w:space="0" w:color="auto"/>
        <w:right w:val="none" w:sz="0" w:space="0" w:color="auto"/>
      </w:divBdr>
    </w:div>
    <w:div w:id="304286893">
      <w:bodyDiv w:val="1"/>
      <w:marLeft w:val="0"/>
      <w:marRight w:val="0"/>
      <w:marTop w:val="0"/>
      <w:marBottom w:val="0"/>
      <w:divBdr>
        <w:top w:val="none" w:sz="0" w:space="0" w:color="auto"/>
        <w:left w:val="none" w:sz="0" w:space="0" w:color="auto"/>
        <w:bottom w:val="none" w:sz="0" w:space="0" w:color="auto"/>
        <w:right w:val="none" w:sz="0" w:space="0" w:color="auto"/>
      </w:divBdr>
    </w:div>
    <w:div w:id="363604893">
      <w:bodyDiv w:val="1"/>
      <w:marLeft w:val="0"/>
      <w:marRight w:val="0"/>
      <w:marTop w:val="0"/>
      <w:marBottom w:val="0"/>
      <w:divBdr>
        <w:top w:val="none" w:sz="0" w:space="0" w:color="auto"/>
        <w:left w:val="none" w:sz="0" w:space="0" w:color="auto"/>
        <w:bottom w:val="none" w:sz="0" w:space="0" w:color="auto"/>
        <w:right w:val="none" w:sz="0" w:space="0" w:color="auto"/>
      </w:divBdr>
    </w:div>
    <w:div w:id="420957395">
      <w:bodyDiv w:val="1"/>
      <w:marLeft w:val="0"/>
      <w:marRight w:val="0"/>
      <w:marTop w:val="0"/>
      <w:marBottom w:val="0"/>
      <w:divBdr>
        <w:top w:val="none" w:sz="0" w:space="0" w:color="auto"/>
        <w:left w:val="none" w:sz="0" w:space="0" w:color="auto"/>
        <w:bottom w:val="none" w:sz="0" w:space="0" w:color="auto"/>
        <w:right w:val="none" w:sz="0" w:space="0" w:color="auto"/>
      </w:divBdr>
    </w:div>
    <w:div w:id="484125102">
      <w:bodyDiv w:val="1"/>
      <w:marLeft w:val="0"/>
      <w:marRight w:val="0"/>
      <w:marTop w:val="0"/>
      <w:marBottom w:val="0"/>
      <w:divBdr>
        <w:top w:val="none" w:sz="0" w:space="0" w:color="auto"/>
        <w:left w:val="none" w:sz="0" w:space="0" w:color="auto"/>
        <w:bottom w:val="none" w:sz="0" w:space="0" w:color="auto"/>
        <w:right w:val="none" w:sz="0" w:space="0" w:color="auto"/>
      </w:divBdr>
    </w:div>
    <w:div w:id="538854980">
      <w:bodyDiv w:val="1"/>
      <w:marLeft w:val="0"/>
      <w:marRight w:val="0"/>
      <w:marTop w:val="0"/>
      <w:marBottom w:val="0"/>
      <w:divBdr>
        <w:top w:val="none" w:sz="0" w:space="0" w:color="auto"/>
        <w:left w:val="none" w:sz="0" w:space="0" w:color="auto"/>
        <w:bottom w:val="none" w:sz="0" w:space="0" w:color="auto"/>
        <w:right w:val="none" w:sz="0" w:space="0" w:color="auto"/>
      </w:divBdr>
    </w:div>
    <w:div w:id="611327165">
      <w:bodyDiv w:val="1"/>
      <w:marLeft w:val="0"/>
      <w:marRight w:val="0"/>
      <w:marTop w:val="0"/>
      <w:marBottom w:val="0"/>
      <w:divBdr>
        <w:top w:val="none" w:sz="0" w:space="0" w:color="auto"/>
        <w:left w:val="none" w:sz="0" w:space="0" w:color="auto"/>
        <w:bottom w:val="none" w:sz="0" w:space="0" w:color="auto"/>
        <w:right w:val="none" w:sz="0" w:space="0" w:color="auto"/>
      </w:divBdr>
    </w:div>
    <w:div w:id="826092717">
      <w:bodyDiv w:val="1"/>
      <w:marLeft w:val="0"/>
      <w:marRight w:val="0"/>
      <w:marTop w:val="0"/>
      <w:marBottom w:val="0"/>
      <w:divBdr>
        <w:top w:val="none" w:sz="0" w:space="0" w:color="auto"/>
        <w:left w:val="none" w:sz="0" w:space="0" w:color="auto"/>
        <w:bottom w:val="none" w:sz="0" w:space="0" w:color="auto"/>
        <w:right w:val="none" w:sz="0" w:space="0" w:color="auto"/>
      </w:divBdr>
    </w:div>
    <w:div w:id="855651712">
      <w:marLeft w:val="0"/>
      <w:marRight w:val="0"/>
      <w:marTop w:val="0"/>
      <w:marBottom w:val="0"/>
      <w:divBdr>
        <w:top w:val="none" w:sz="0" w:space="0" w:color="auto"/>
        <w:left w:val="none" w:sz="0" w:space="0" w:color="auto"/>
        <w:bottom w:val="none" w:sz="0" w:space="0" w:color="auto"/>
        <w:right w:val="none" w:sz="0" w:space="0" w:color="auto"/>
      </w:divBdr>
      <w:divsChild>
        <w:div w:id="855651713">
          <w:marLeft w:val="0"/>
          <w:marRight w:val="0"/>
          <w:marTop w:val="0"/>
          <w:marBottom w:val="0"/>
          <w:divBdr>
            <w:top w:val="none" w:sz="0" w:space="0" w:color="auto"/>
            <w:left w:val="none" w:sz="0" w:space="0" w:color="auto"/>
            <w:bottom w:val="none" w:sz="0" w:space="0" w:color="auto"/>
            <w:right w:val="none" w:sz="0" w:space="0" w:color="auto"/>
          </w:divBdr>
        </w:div>
      </w:divsChild>
    </w:div>
    <w:div w:id="855651722">
      <w:marLeft w:val="0"/>
      <w:marRight w:val="0"/>
      <w:marTop w:val="0"/>
      <w:marBottom w:val="0"/>
      <w:divBdr>
        <w:top w:val="none" w:sz="0" w:space="0" w:color="auto"/>
        <w:left w:val="none" w:sz="0" w:space="0" w:color="auto"/>
        <w:bottom w:val="none" w:sz="0" w:space="0" w:color="auto"/>
        <w:right w:val="none" w:sz="0" w:space="0" w:color="auto"/>
      </w:divBdr>
      <w:divsChild>
        <w:div w:id="855651709">
          <w:marLeft w:val="0"/>
          <w:marRight w:val="0"/>
          <w:marTop w:val="0"/>
          <w:marBottom w:val="0"/>
          <w:divBdr>
            <w:top w:val="none" w:sz="0" w:space="0" w:color="auto"/>
            <w:left w:val="none" w:sz="0" w:space="0" w:color="auto"/>
            <w:bottom w:val="none" w:sz="0" w:space="0" w:color="auto"/>
            <w:right w:val="none" w:sz="0" w:space="0" w:color="auto"/>
          </w:divBdr>
        </w:div>
        <w:div w:id="855651717">
          <w:marLeft w:val="0"/>
          <w:marRight w:val="0"/>
          <w:marTop w:val="0"/>
          <w:marBottom w:val="0"/>
          <w:divBdr>
            <w:top w:val="none" w:sz="0" w:space="0" w:color="auto"/>
            <w:left w:val="none" w:sz="0" w:space="0" w:color="auto"/>
            <w:bottom w:val="none" w:sz="0" w:space="0" w:color="auto"/>
            <w:right w:val="none" w:sz="0" w:space="0" w:color="auto"/>
          </w:divBdr>
        </w:div>
        <w:div w:id="855651719">
          <w:marLeft w:val="0"/>
          <w:marRight w:val="0"/>
          <w:marTop w:val="0"/>
          <w:marBottom w:val="0"/>
          <w:divBdr>
            <w:top w:val="none" w:sz="0" w:space="0" w:color="auto"/>
            <w:left w:val="none" w:sz="0" w:space="0" w:color="auto"/>
            <w:bottom w:val="none" w:sz="0" w:space="0" w:color="auto"/>
            <w:right w:val="none" w:sz="0" w:space="0" w:color="auto"/>
          </w:divBdr>
        </w:div>
        <w:div w:id="855651720">
          <w:marLeft w:val="0"/>
          <w:marRight w:val="0"/>
          <w:marTop w:val="0"/>
          <w:marBottom w:val="0"/>
          <w:divBdr>
            <w:top w:val="none" w:sz="0" w:space="0" w:color="auto"/>
            <w:left w:val="none" w:sz="0" w:space="0" w:color="auto"/>
            <w:bottom w:val="none" w:sz="0" w:space="0" w:color="auto"/>
            <w:right w:val="none" w:sz="0" w:space="0" w:color="auto"/>
          </w:divBdr>
        </w:div>
        <w:div w:id="855651732">
          <w:marLeft w:val="0"/>
          <w:marRight w:val="0"/>
          <w:marTop w:val="0"/>
          <w:marBottom w:val="0"/>
          <w:divBdr>
            <w:top w:val="none" w:sz="0" w:space="0" w:color="auto"/>
            <w:left w:val="none" w:sz="0" w:space="0" w:color="auto"/>
            <w:bottom w:val="none" w:sz="0" w:space="0" w:color="auto"/>
            <w:right w:val="none" w:sz="0" w:space="0" w:color="auto"/>
          </w:divBdr>
        </w:div>
        <w:div w:id="855651734">
          <w:marLeft w:val="0"/>
          <w:marRight w:val="0"/>
          <w:marTop w:val="0"/>
          <w:marBottom w:val="0"/>
          <w:divBdr>
            <w:top w:val="none" w:sz="0" w:space="0" w:color="auto"/>
            <w:left w:val="none" w:sz="0" w:space="0" w:color="auto"/>
            <w:bottom w:val="none" w:sz="0" w:space="0" w:color="auto"/>
            <w:right w:val="none" w:sz="0" w:space="0" w:color="auto"/>
          </w:divBdr>
        </w:div>
        <w:div w:id="855651746">
          <w:marLeft w:val="0"/>
          <w:marRight w:val="0"/>
          <w:marTop w:val="0"/>
          <w:marBottom w:val="0"/>
          <w:divBdr>
            <w:top w:val="none" w:sz="0" w:space="0" w:color="auto"/>
            <w:left w:val="none" w:sz="0" w:space="0" w:color="auto"/>
            <w:bottom w:val="none" w:sz="0" w:space="0" w:color="auto"/>
            <w:right w:val="none" w:sz="0" w:space="0" w:color="auto"/>
          </w:divBdr>
        </w:div>
        <w:div w:id="855651770">
          <w:marLeft w:val="0"/>
          <w:marRight w:val="0"/>
          <w:marTop w:val="0"/>
          <w:marBottom w:val="0"/>
          <w:divBdr>
            <w:top w:val="none" w:sz="0" w:space="0" w:color="auto"/>
            <w:left w:val="none" w:sz="0" w:space="0" w:color="auto"/>
            <w:bottom w:val="none" w:sz="0" w:space="0" w:color="auto"/>
            <w:right w:val="none" w:sz="0" w:space="0" w:color="auto"/>
          </w:divBdr>
        </w:div>
        <w:div w:id="855651773">
          <w:marLeft w:val="0"/>
          <w:marRight w:val="0"/>
          <w:marTop w:val="0"/>
          <w:marBottom w:val="0"/>
          <w:divBdr>
            <w:top w:val="none" w:sz="0" w:space="0" w:color="auto"/>
            <w:left w:val="none" w:sz="0" w:space="0" w:color="auto"/>
            <w:bottom w:val="none" w:sz="0" w:space="0" w:color="auto"/>
            <w:right w:val="none" w:sz="0" w:space="0" w:color="auto"/>
          </w:divBdr>
        </w:div>
        <w:div w:id="855651783">
          <w:marLeft w:val="0"/>
          <w:marRight w:val="0"/>
          <w:marTop w:val="0"/>
          <w:marBottom w:val="0"/>
          <w:divBdr>
            <w:top w:val="none" w:sz="0" w:space="0" w:color="auto"/>
            <w:left w:val="none" w:sz="0" w:space="0" w:color="auto"/>
            <w:bottom w:val="none" w:sz="0" w:space="0" w:color="auto"/>
            <w:right w:val="none" w:sz="0" w:space="0" w:color="auto"/>
          </w:divBdr>
        </w:div>
        <w:div w:id="855651784">
          <w:marLeft w:val="0"/>
          <w:marRight w:val="0"/>
          <w:marTop w:val="0"/>
          <w:marBottom w:val="0"/>
          <w:divBdr>
            <w:top w:val="none" w:sz="0" w:space="0" w:color="auto"/>
            <w:left w:val="none" w:sz="0" w:space="0" w:color="auto"/>
            <w:bottom w:val="none" w:sz="0" w:space="0" w:color="auto"/>
            <w:right w:val="none" w:sz="0" w:space="0" w:color="auto"/>
          </w:divBdr>
        </w:div>
        <w:div w:id="855651786">
          <w:marLeft w:val="0"/>
          <w:marRight w:val="0"/>
          <w:marTop w:val="0"/>
          <w:marBottom w:val="0"/>
          <w:divBdr>
            <w:top w:val="none" w:sz="0" w:space="0" w:color="auto"/>
            <w:left w:val="none" w:sz="0" w:space="0" w:color="auto"/>
            <w:bottom w:val="none" w:sz="0" w:space="0" w:color="auto"/>
            <w:right w:val="none" w:sz="0" w:space="0" w:color="auto"/>
          </w:divBdr>
        </w:div>
        <w:div w:id="855651787">
          <w:marLeft w:val="0"/>
          <w:marRight w:val="0"/>
          <w:marTop w:val="0"/>
          <w:marBottom w:val="0"/>
          <w:divBdr>
            <w:top w:val="none" w:sz="0" w:space="0" w:color="auto"/>
            <w:left w:val="none" w:sz="0" w:space="0" w:color="auto"/>
            <w:bottom w:val="none" w:sz="0" w:space="0" w:color="auto"/>
            <w:right w:val="none" w:sz="0" w:space="0" w:color="auto"/>
          </w:divBdr>
        </w:div>
        <w:div w:id="855651790">
          <w:marLeft w:val="0"/>
          <w:marRight w:val="0"/>
          <w:marTop w:val="0"/>
          <w:marBottom w:val="0"/>
          <w:divBdr>
            <w:top w:val="none" w:sz="0" w:space="0" w:color="auto"/>
            <w:left w:val="none" w:sz="0" w:space="0" w:color="auto"/>
            <w:bottom w:val="none" w:sz="0" w:space="0" w:color="auto"/>
            <w:right w:val="none" w:sz="0" w:space="0" w:color="auto"/>
          </w:divBdr>
        </w:div>
        <w:div w:id="855651796">
          <w:marLeft w:val="0"/>
          <w:marRight w:val="0"/>
          <w:marTop w:val="0"/>
          <w:marBottom w:val="0"/>
          <w:divBdr>
            <w:top w:val="none" w:sz="0" w:space="0" w:color="auto"/>
            <w:left w:val="none" w:sz="0" w:space="0" w:color="auto"/>
            <w:bottom w:val="none" w:sz="0" w:space="0" w:color="auto"/>
            <w:right w:val="none" w:sz="0" w:space="0" w:color="auto"/>
          </w:divBdr>
        </w:div>
        <w:div w:id="855651798">
          <w:marLeft w:val="0"/>
          <w:marRight w:val="0"/>
          <w:marTop w:val="0"/>
          <w:marBottom w:val="0"/>
          <w:divBdr>
            <w:top w:val="none" w:sz="0" w:space="0" w:color="auto"/>
            <w:left w:val="none" w:sz="0" w:space="0" w:color="auto"/>
            <w:bottom w:val="none" w:sz="0" w:space="0" w:color="auto"/>
            <w:right w:val="none" w:sz="0" w:space="0" w:color="auto"/>
          </w:divBdr>
        </w:div>
        <w:div w:id="855651802">
          <w:marLeft w:val="0"/>
          <w:marRight w:val="0"/>
          <w:marTop w:val="0"/>
          <w:marBottom w:val="0"/>
          <w:divBdr>
            <w:top w:val="none" w:sz="0" w:space="0" w:color="auto"/>
            <w:left w:val="none" w:sz="0" w:space="0" w:color="auto"/>
            <w:bottom w:val="none" w:sz="0" w:space="0" w:color="auto"/>
            <w:right w:val="none" w:sz="0" w:space="0" w:color="auto"/>
          </w:divBdr>
        </w:div>
      </w:divsChild>
    </w:div>
    <w:div w:id="855651726">
      <w:marLeft w:val="0"/>
      <w:marRight w:val="0"/>
      <w:marTop w:val="0"/>
      <w:marBottom w:val="0"/>
      <w:divBdr>
        <w:top w:val="none" w:sz="0" w:space="0" w:color="auto"/>
        <w:left w:val="none" w:sz="0" w:space="0" w:color="auto"/>
        <w:bottom w:val="none" w:sz="0" w:space="0" w:color="auto"/>
        <w:right w:val="none" w:sz="0" w:space="0" w:color="auto"/>
      </w:divBdr>
    </w:div>
    <w:div w:id="855651727">
      <w:marLeft w:val="0"/>
      <w:marRight w:val="0"/>
      <w:marTop w:val="0"/>
      <w:marBottom w:val="0"/>
      <w:divBdr>
        <w:top w:val="none" w:sz="0" w:space="0" w:color="auto"/>
        <w:left w:val="none" w:sz="0" w:space="0" w:color="auto"/>
        <w:bottom w:val="none" w:sz="0" w:space="0" w:color="auto"/>
        <w:right w:val="none" w:sz="0" w:space="0" w:color="auto"/>
      </w:divBdr>
    </w:div>
    <w:div w:id="855651744">
      <w:marLeft w:val="0"/>
      <w:marRight w:val="0"/>
      <w:marTop w:val="0"/>
      <w:marBottom w:val="0"/>
      <w:divBdr>
        <w:top w:val="none" w:sz="0" w:space="0" w:color="auto"/>
        <w:left w:val="none" w:sz="0" w:space="0" w:color="auto"/>
        <w:bottom w:val="none" w:sz="0" w:space="0" w:color="auto"/>
        <w:right w:val="none" w:sz="0" w:space="0" w:color="auto"/>
      </w:divBdr>
      <w:divsChild>
        <w:div w:id="855651765">
          <w:marLeft w:val="0"/>
          <w:marRight w:val="0"/>
          <w:marTop w:val="0"/>
          <w:marBottom w:val="0"/>
          <w:divBdr>
            <w:top w:val="none" w:sz="0" w:space="0" w:color="auto"/>
            <w:left w:val="none" w:sz="0" w:space="0" w:color="auto"/>
            <w:bottom w:val="none" w:sz="0" w:space="0" w:color="auto"/>
            <w:right w:val="none" w:sz="0" w:space="0" w:color="auto"/>
          </w:divBdr>
        </w:div>
      </w:divsChild>
    </w:div>
    <w:div w:id="855651748">
      <w:marLeft w:val="0"/>
      <w:marRight w:val="0"/>
      <w:marTop w:val="0"/>
      <w:marBottom w:val="0"/>
      <w:divBdr>
        <w:top w:val="none" w:sz="0" w:space="0" w:color="auto"/>
        <w:left w:val="none" w:sz="0" w:space="0" w:color="auto"/>
        <w:bottom w:val="none" w:sz="0" w:space="0" w:color="auto"/>
        <w:right w:val="none" w:sz="0" w:space="0" w:color="auto"/>
      </w:divBdr>
    </w:div>
    <w:div w:id="855651752">
      <w:marLeft w:val="0"/>
      <w:marRight w:val="0"/>
      <w:marTop w:val="0"/>
      <w:marBottom w:val="0"/>
      <w:divBdr>
        <w:top w:val="none" w:sz="0" w:space="0" w:color="auto"/>
        <w:left w:val="none" w:sz="0" w:space="0" w:color="auto"/>
        <w:bottom w:val="none" w:sz="0" w:space="0" w:color="auto"/>
        <w:right w:val="none" w:sz="0" w:space="0" w:color="auto"/>
      </w:divBdr>
      <w:divsChild>
        <w:div w:id="855651710">
          <w:marLeft w:val="0"/>
          <w:marRight w:val="0"/>
          <w:marTop w:val="0"/>
          <w:marBottom w:val="0"/>
          <w:divBdr>
            <w:top w:val="none" w:sz="0" w:space="0" w:color="auto"/>
            <w:left w:val="none" w:sz="0" w:space="0" w:color="auto"/>
            <w:bottom w:val="none" w:sz="0" w:space="0" w:color="auto"/>
            <w:right w:val="none" w:sz="0" w:space="0" w:color="auto"/>
          </w:divBdr>
        </w:div>
      </w:divsChild>
    </w:div>
    <w:div w:id="855651764">
      <w:marLeft w:val="0"/>
      <w:marRight w:val="0"/>
      <w:marTop w:val="0"/>
      <w:marBottom w:val="0"/>
      <w:divBdr>
        <w:top w:val="none" w:sz="0" w:space="0" w:color="auto"/>
        <w:left w:val="none" w:sz="0" w:space="0" w:color="auto"/>
        <w:bottom w:val="none" w:sz="0" w:space="0" w:color="auto"/>
        <w:right w:val="none" w:sz="0" w:space="0" w:color="auto"/>
      </w:divBdr>
      <w:divsChild>
        <w:div w:id="855651723">
          <w:marLeft w:val="0"/>
          <w:marRight w:val="0"/>
          <w:marTop w:val="0"/>
          <w:marBottom w:val="0"/>
          <w:divBdr>
            <w:top w:val="none" w:sz="0" w:space="0" w:color="auto"/>
            <w:left w:val="none" w:sz="0" w:space="0" w:color="auto"/>
            <w:bottom w:val="none" w:sz="0" w:space="0" w:color="auto"/>
            <w:right w:val="none" w:sz="0" w:space="0" w:color="auto"/>
          </w:divBdr>
        </w:div>
        <w:div w:id="855651730">
          <w:marLeft w:val="0"/>
          <w:marRight w:val="0"/>
          <w:marTop w:val="0"/>
          <w:marBottom w:val="0"/>
          <w:divBdr>
            <w:top w:val="none" w:sz="0" w:space="0" w:color="auto"/>
            <w:left w:val="none" w:sz="0" w:space="0" w:color="auto"/>
            <w:bottom w:val="none" w:sz="0" w:space="0" w:color="auto"/>
            <w:right w:val="none" w:sz="0" w:space="0" w:color="auto"/>
          </w:divBdr>
        </w:div>
        <w:div w:id="855651739">
          <w:marLeft w:val="0"/>
          <w:marRight w:val="0"/>
          <w:marTop w:val="0"/>
          <w:marBottom w:val="0"/>
          <w:divBdr>
            <w:top w:val="none" w:sz="0" w:space="0" w:color="auto"/>
            <w:left w:val="none" w:sz="0" w:space="0" w:color="auto"/>
            <w:bottom w:val="none" w:sz="0" w:space="0" w:color="auto"/>
            <w:right w:val="none" w:sz="0" w:space="0" w:color="auto"/>
          </w:divBdr>
        </w:div>
        <w:div w:id="855651750">
          <w:marLeft w:val="0"/>
          <w:marRight w:val="0"/>
          <w:marTop w:val="0"/>
          <w:marBottom w:val="0"/>
          <w:divBdr>
            <w:top w:val="none" w:sz="0" w:space="0" w:color="auto"/>
            <w:left w:val="none" w:sz="0" w:space="0" w:color="auto"/>
            <w:bottom w:val="none" w:sz="0" w:space="0" w:color="auto"/>
            <w:right w:val="none" w:sz="0" w:space="0" w:color="auto"/>
          </w:divBdr>
        </w:div>
        <w:div w:id="855651758">
          <w:marLeft w:val="0"/>
          <w:marRight w:val="0"/>
          <w:marTop w:val="0"/>
          <w:marBottom w:val="0"/>
          <w:divBdr>
            <w:top w:val="none" w:sz="0" w:space="0" w:color="auto"/>
            <w:left w:val="none" w:sz="0" w:space="0" w:color="auto"/>
            <w:bottom w:val="none" w:sz="0" w:space="0" w:color="auto"/>
            <w:right w:val="none" w:sz="0" w:space="0" w:color="auto"/>
          </w:divBdr>
        </w:div>
        <w:div w:id="855651789">
          <w:marLeft w:val="0"/>
          <w:marRight w:val="0"/>
          <w:marTop w:val="0"/>
          <w:marBottom w:val="0"/>
          <w:divBdr>
            <w:top w:val="none" w:sz="0" w:space="0" w:color="auto"/>
            <w:left w:val="none" w:sz="0" w:space="0" w:color="auto"/>
            <w:bottom w:val="none" w:sz="0" w:space="0" w:color="auto"/>
            <w:right w:val="none" w:sz="0" w:space="0" w:color="auto"/>
          </w:divBdr>
        </w:div>
      </w:divsChild>
    </w:div>
    <w:div w:id="855651767">
      <w:marLeft w:val="0"/>
      <w:marRight w:val="0"/>
      <w:marTop w:val="0"/>
      <w:marBottom w:val="0"/>
      <w:divBdr>
        <w:top w:val="none" w:sz="0" w:space="0" w:color="auto"/>
        <w:left w:val="none" w:sz="0" w:space="0" w:color="auto"/>
        <w:bottom w:val="none" w:sz="0" w:space="0" w:color="auto"/>
        <w:right w:val="none" w:sz="0" w:space="0" w:color="auto"/>
      </w:divBdr>
      <w:divsChild>
        <w:div w:id="855651715">
          <w:marLeft w:val="0"/>
          <w:marRight w:val="0"/>
          <w:marTop w:val="0"/>
          <w:marBottom w:val="0"/>
          <w:divBdr>
            <w:top w:val="none" w:sz="0" w:space="0" w:color="auto"/>
            <w:left w:val="none" w:sz="0" w:space="0" w:color="auto"/>
            <w:bottom w:val="none" w:sz="0" w:space="0" w:color="auto"/>
            <w:right w:val="none" w:sz="0" w:space="0" w:color="auto"/>
          </w:divBdr>
        </w:div>
        <w:div w:id="855651747">
          <w:marLeft w:val="0"/>
          <w:marRight w:val="0"/>
          <w:marTop w:val="0"/>
          <w:marBottom w:val="0"/>
          <w:divBdr>
            <w:top w:val="none" w:sz="0" w:space="0" w:color="auto"/>
            <w:left w:val="none" w:sz="0" w:space="0" w:color="auto"/>
            <w:bottom w:val="none" w:sz="0" w:space="0" w:color="auto"/>
            <w:right w:val="none" w:sz="0" w:space="0" w:color="auto"/>
          </w:divBdr>
        </w:div>
        <w:div w:id="855651751">
          <w:marLeft w:val="0"/>
          <w:marRight w:val="0"/>
          <w:marTop w:val="0"/>
          <w:marBottom w:val="0"/>
          <w:divBdr>
            <w:top w:val="none" w:sz="0" w:space="0" w:color="auto"/>
            <w:left w:val="none" w:sz="0" w:space="0" w:color="auto"/>
            <w:bottom w:val="none" w:sz="0" w:space="0" w:color="auto"/>
            <w:right w:val="none" w:sz="0" w:space="0" w:color="auto"/>
          </w:divBdr>
        </w:div>
        <w:div w:id="855651753">
          <w:marLeft w:val="0"/>
          <w:marRight w:val="0"/>
          <w:marTop w:val="0"/>
          <w:marBottom w:val="0"/>
          <w:divBdr>
            <w:top w:val="none" w:sz="0" w:space="0" w:color="auto"/>
            <w:left w:val="none" w:sz="0" w:space="0" w:color="auto"/>
            <w:bottom w:val="none" w:sz="0" w:space="0" w:color="auto"/>
            <w:right w:val="none" w:sz="0" w:space="0" w:color="auto"/>
          </w:divBdr>
        </w:div>
        <w:div w:id="855651766">
          <w:marLeft w:val="0"/>
          <w:marRight w:val="0"/>
          <w:marTop w:val="0"/>
          <w:marBottom w:val="0"/>
          <w:divBdr>
            <w:top w:val="none" w:sz="0" w:space="0" w:color="auto"/>
            <w:left w:val="none" w:sz="0" w:space="0" w:color="auto"/>
            <w:bottom w:val="none" w:sz="0" w:space="0" w:color="auto"/>
            <w:right w:val="none" w:sz="0" w:space="0" w:color="auto"/>
          </w:divBdr>
        </w:div>
      </w:divsChild>
    </w:div>
    <w:div w:id="855651772">
      <w:marLeft w:val="0"/>
      <w:marRight w:val="0"/>
      <w:marTop w:val="0"/>
      <w:marBottom w:val="0"/>
      <w:divBdr>
        <w:top w:val="none" w:sz="0" w:space="0" w:color="auto"/>
        <w:left w:val="none" w:sz="0" w:space="0" w:color="auto"/>
        <w:bottom w:val="none" w:sz="0" w:space="0" w:color="auto"/>
        <w:right w:val="none" w:sz="0" w:space="0" w:color="auto"/>
      </w:divBdr>
      <w:divsChild>
        <w:div w:id="855651724">
          <w:marLeft w:val="0"/>
          <w:marRight w:val="0"/>
          <w:marTop w:val="0"/>
          <w:marBottom w:val="0"/>
          <w:divBdr>
            <w:top w:val="none" w:sz="0" w:space="0" w:color="auto"/>
            <w:left w:val="none" w:sz="0" w:space="0" w:color="auto"/>
            <w:bottom w:val="none" w:sz="0" w:space="0" w:color="auto"/>
            <w:right w:val="none" w:sz="0" w:space="0" w:color="auto"/>
          </w:divBdr>
        </w:div>
        <w:div w:id="855651733">
          <w:marLeft w:val="0"/>
          <w:marRight w:val="0"/>
          <w:marTop w:val="0"/>
          <w:marBottom w:val="0"/>
          <w:divBdr>
            <w:top w:val="none" w:sz="0" w:space="0" w:color="auto"/>
            <w:left w:val="none" w:sz="0" w:space="0" w:color="auto"/>
            <w:bottom w:val="none" w:sz="0" w:space="0" w:color="auto"/>
            <w:right w:val="none" w:sz="0" w:space="0" w:color="auto"/>
          </w:divBdr>
        </w:div>
        <w:div w:id="855651757">
          <w:marLeft w:val="0"/>
          <w:marRight w:val="0"/>
          <w:marTop w:val="0"/>
          <w:marBottom w:val="0"/>
          <w:divBdr>
            <w:top w:val="none" w:sz="0" w:space="0" w:color="auto"/>
            <w:left w:val="none" w:sz="0" w:space="0" w:color="auto"/>
            <w:bottom w:val="none" w:sz="0" w:space="0" w:color="auto"/>
            <w:right w:val="none" w:sz="0" w:space="0" w:color="auto"/>
          </w:divBdr>
        </w:div>
        <w:div w:id="855651763">
          <w:marLeft w:val="0"/>
          <w:marRight w:val="0"/>
          <w:marTop w:val="0"/>
          <w:marBottom w:val="0"/>
          <w:divBdr>
            <w:top w:val="none" w:sz="0" w:space="0" w:color="auto"/>
            <w:left w:val="none" w:sz="0" w:space="0" w:color="auto"/>
            <w:bottom w:val="none" w:sz="0" w:space="0" w:color="auto"/>
            <w:right w:val="none" w:sz="0" w:space="0" w:color="auto"/>
          </w:divBdr>
        </w:div>
        <w:div w:id="855651769">
          <w:marLeft w:val="0"/>
          <w:marRight w:val="0"/>
          <w:marTop w:val="0"/>
          <w:marBottom w:val="0"/>
          <w:divBdr>
            <w:top w:val="none" w:sz="0" w:space="0" w:color="auto"/>
            <w:left w:val="none" w:sz="0" w:space="0" w:color="auto"/>
            <w:bottom w:val="none" w:sz="0" w:space="0" w:color="auto"/>
            <w:right w:val="none" w:sz="0" w:space="0" w:color="auto"/>
          </w:divBdr>
        </w:div>
      </w:divsChild>
    </w:div>
    <w:div w:id="855651777">
      <w:marLeft w:val="0"/>
      <w:marRight w:val="0"/>
      <w:marTop w:val="0"/>
      <w:marBottom w:val="0"/>
      <w:divBdr>
        <w:top w:val="none" w:sz="0" w:space="0" w:color="auto"/>
        <w:left w:val="none" w:sz="0" w:space="0" w:color="auto"/>
        <w:bottom w:val="none" w:sz="0" w:space="0" w:color="auto"/>
        <w:right w:val="none" w:sz="0" w:space="0" w:color="auto"/>
      </w:divBdr>
    </w:div>
    <w:div w:id="855651791">
      <w:marLeft w:val="80"/>
      <w:marRight w:val="80"/>
      <w:marTop w:val="0"/>
      <w:marBottom w:val="0"/>
      <w:divBdr>
        <w:top w:val="none" w:sz="0" w:space="0" w:color="auto"/>
        <w:left w:val="none" w:sz="0" w:space="0" w:color="auto"/>
        <w:bottom w:val="none" w:sz="0" w:space="0" w:color="auto"/>
        <w:right w:val="none" w:sz="0" w:space="0" w:color="auto"/>
      </w:divBdr>
      <w:divsChild>
        <w:div w:id="855651800">
          <w:marLeft w:val="0"/>
          <w:marRight w:val="0"/>
          <w:marTop w:val="0"/>
          <w:marBottom w:val="0"/>
          <w:divBdr>
            <w:top w:val="none" w:sz="0" w:space="0" w:color="auto"/>
            <w:left w:val="none" w:sz="0" w:space="0" w:color="auto"/>
            <w:bottom w:val="none" w:sz="0" w:space="0" w:color="auto"/>
            <w:right w:val="none" w:sz="0" w:space="0" w:color="auto"/>
          </w:divBdr>
          <w:divsChild>
            <w:div w:id="855651738">
              <w:marLeft w:val="0"/>
              <w:marRight w:val="0"/>
              <w:marTop w:val="0"/>
              <w:marBottom w:val="0"/>
              <w:divBdr>
                <w:top w:val="none" w:sz="0" w:space="0" w:color="auto"/>
                <w:left w:val="none" w:sz="0" w:space="0" w:color="auto"/>
                <w:bottom w:val="none" w:sz="0" w:space="0" w:color="auto"/>
                <w:right w:val="none" w:sz="0" w:space="0" w:color="auto"/>
              </w:divBdr>
              <w:divsChild>
                <w:div w:id="855651761">
                  <w:marLeft w:val="720"/>
                  <w:marRight w:val="720"/>
                  <w:marTop w:val="100"/>
                  <w:marBottom w:val="100"/>
                  <w:divBdr>
                    <w:top w:val="none" w:sz="0" w:space="0" w:color="auto"/>
                    <w:left w:val="none" w:sz="0" w:space="0" w:color="auto"/>
                    <w:bottom w:val="none" w:sz="0" w:space="0" w:color="auto"/>
                    <w:right w:val="none" w:sz="0" w:space="0" w:color="auto"/>
                  </w:divBdr>
                  <w:divsChild>
                    <w:div w:id="855651735">
                      <w:marLeft w:val="720"/>
                      <w:marRight w:val="720"/>
                      <w:marTop w:val="100"/>
                      <w:marBottom w:val="100"/>
                      <w:divBdr>
                        <w:top w:val="none" w:sz="0" w:space="0" w:color="auto"/>
                        <w:left w:val="none" w:sz="0" w:space="0" w:color="auto"/>
                        <w:bottom w:val="none" w:sz="0" w:space="0" w:color="auto"/>
                        <w:right w:val="none" w:sz="0" w:space="0" w:color="auto"/>
                      </w:divBdr>
                      <w:divsChild>
                        <w:div w:id="855651754">
                          <w:marLeft w:val="720"/>
                          <w:marRight w:val="720"/>
                          <w:marTop w:val="100"/>
                          <w:marBottom w:val="100"/>
                          <w:divBdr>
                            <w:top w:val="none" w:sz="0" w:space="0" w:color="auto"/>
                            <w:left w:val="none" w:sz="0" w:space="0" w:color="auto"/>
                            <w:bottom w:val="none" w:sz="0" w:space="0" w:color="auto"/>
                            <w:right w:val="none" w:sz="0" w:space="0" w:color="auto"/>
                          </w:divBdr>
                          <w:divsChild>
                            <w:div w:id="855651762">
                              <w:marLeft w:val="0"/>
                              <w:marRight w:val="0"/>
                              <w:marTop w:val="0"/>
                              <w:marBottom w:val="0"/>
                              <w:divBdr>
                                <w:top w:val="none" w:sz="0" w:space="0" w:color="auto"/>
                                <w:left w:val="none" w:sz="0" w:space="0" w:color="auto"/>
                                <w:bottom w:val="none" w:sz="0" w:space="0" w:color="auto"/>
                                <w:right w:val="none" w:sz="0" w:space="0" w:color="auto"/>
                              </w:divBdr>
                              <w:divsChild>
                                <w:div w:id="855651779">
                                  <w:marLeft w:val="720"/>
                                  <w:marRight w:val="720"/>
                                  <w:marTop w:val="100"/>
                                  <w:marBottom w:val="100"/>
                                  <w:divBdr>
                                    <w:top w:val="none" w:sz="0" w:space="0" w:color="auto"/>
                                    <w:left w:val="none" w:sz="0" w:space="0" w:color="auto"/>
                                    <w:bottom w:val="none" w:sz="0" w:space="0" w:color="auto"/>
                                    <w:right w:val="none" w:sz="0" w:space="0" w:color="auto"/>
                                  </w:divBdr>
                                  <w:divsChild>
                                    <w:div w:id="855651745">
                                      <w:marLeft w:val="720"/>
                                      <w:marRight w:val="720"/>
                                      <w:marTop w:val="100"/>
                                      <w:marBottom w:val="100"/>
                                      <w:divBdr>
                                        <w:top w:val="none" w:sz="0" w:space="0" w:color="auto"/>
                                        <w:left w:val="none" w:sz="0" w:space="0" w:color="auto"/>
                                        <w:bottom w:val="none" w:sz="0" w:space="0" w:color="auto"/>
                                        <w:right w:val="none" w:sz="0" w:space="0" w:color="auto"/>
                                      </w:divBdr>
                                      <w:divsChild>
                                        <w:div w:id="855651760">
                                          <w:marLeft w:val="720"/>
                                          <w:marRight w:val="720"/>
                                          <w:marTop w:val="100"/>
                                          <w:marBottom w:val="100"/>
                                          <w:divBdr>
                                            <w:top w:val="none" w:sz="0" w:space="0" w:color="auto"/>
                                            <w:left w:val="none" w:sz="0" w:space="0" w:color="auto"/>
                                            <w:bottom w:val="none" w:sz="0" w:space="0" w:color="auto"/>
                                            <w:right w:val="none" w:sz="0" w:space="0" w:color="auto"/>
                                          </w:divBdr>
                                          <w:divsChild>
                                            <w:div w:id="855651775">
                                              <w:marLeft w:val="0"/>
                                              <w:marRight w:val="0"/>
                                              <w:marTop w:val="0"/>
                                              <w:marBottom w:val="0"/>
                                              <w:divBdr>
                                                <w:top w:val="none" w:sz="0" w:space="0" w:color="auto"/>
                                                <w:left w:val="none" w:sz="0" w:space="0" w:color="auto"/>
                                                <w:bottom w:val="none" w:sz="0" w:space="0" w:color="auto"/>
                                                <w:right w:val="none" w:sz="0" w:space="0" w:color="auto"/>
                                              </w:divBdr>
                                              <w:divsChild>
                                                <w:div w:id="855651736">
                                                  <w:marLeft w:val="75"/>
                                                  <w:marRight w:val="0"/>
                                                  <w:marTop w:val="100"/>
                                                  <w:marBottom w:val="100"/>
                                                  <w:divBdr>
                                                    <w:top w:val="none" w:sz="0" w:space="0" w:color="auto"/>
                                                    <w:left w:val="single" w:sz="12" w:space="4" w:color="A0C6E5"/>
                                                    <w:bottom w:val="none" w:sz="0" w:space="0" w:color="auto"/>
                                                    <w:right w:val="none" w:sz="0" w:space="0" w:color="auto"/>
                                                  </w:divBdr>
                                                  <w:divsChild>
                                                    <w:div w:id="855651785">
                                                      <w:marLeft w:val="720"/>
                                                      <w:marRight w:val="720"/>
                                                      <w:marTop w:val="100"/>
                                                      <w:marBottom w:val="100"/>
                                                      <w:divBdr>
                                                        <w:top w:val="none" w:sz="0" w:space="0" w:color="auto"/>
                                                        <w:left w:val="none" w:sz="0" w:space="0" w:color="auto"/>
                                                        <w:bottom w:val="none" w:sz="0" w:space="0" w:color="auto"/>
                                                        <w:right w:val="none" w:sz="0" w:space="0" w:color="auto"/>
                                                      </w:divBdr>
                                                      <w:divsChild>
                                                        <w:div w:id="855651794">
                                                          <w:marLeft w:val="720"/>
                                                          <w:marRight w:val="720"/>
                                                          <w:marTop w:val="100"/>
                                                          <w:marBottom w:val="100"/>
                                                          <w:divBdr>
                                                            <w:top w:val="none" w:sz="0" w:space="0" w:color="auto"/>
                                                            <w:left w:val="none" w:sz="0" w:space="0" w:color="auto"/>
                                                            <w:bottom w:val="none" w:sz="0" w:space="0" w:color="auto"/>
                                                            <w:right w:val="none" w:sz="0" w:space="0" w:color="auto"/>
                                                          </w:divBdr>
                                                          <w:divsChild>
                                                            <w:div w:id="855651759">
                                                              <w:marLeft w:val="720"/>
                                                              <w:marRight w:val="720"/>
                                                              <w:marTop w:val="100"/>
                                                              <w:marBottom w:val="100"/>
                                                              <w:divBdr>
                                                                <w:top w:val="none" w:sz="0" w:space="0" w:color="auto"/>
                                                                <w:left w:val="none" w:sz="0" w:space="0" w:color="auto"/>
                                                                <w:bottom w:val="none" w:sz="0" w:space="0" w:color="auto"/>
                                                                <w:right w:val="none" w:sz="0" w:space="0" w:color="auto"/>
                                                              </w:divBdr>
                                                              <w:divsChild>
                                                                <w:div w:id="855651711">
                                                                  <w:marLeft w:val="0"/>
                                                                  <w:marRight w:val="0"/>
                                                                  <w:marTop w:val="0"/>
                                                                  <w:marBottom w:val="0"/>
                                                                  <w:divBdr>
                                                                    <w:top w:val="none" w:sz="0" w:space="0" w:color="auto"/>
                                                                    <w:left w:val="none" w:sz="0" w:space="0" w:color="auto"/>
                                                                    <w:bottom w:val="none" w:sz="0" w:space="0" w:color="auto"/>
                                                                    <w:right w:val="none" w:sz="0" w:space="0" w:color="auto"/>
                                                                  </w:divBdr>
                                                                </w:div>
                                                                <w:div w:id="855651731">
                                                                  <w:marLeft w:val="0"/>
                                                                  <w:marRight w:val="0"/>
                                                                  <w:marTop w:val="0"/>
                                                                  <w:marBottom w:val="0"/>
                                                                  <w:divBdr>
                                                                    <w:top w:val="none" w:sz="0" w:space="0" w:color="auto"/>
                                                                    <w:left w:val="none" w:sz="0" w:space="0" w:color="auto"/>
                                                                    <w:bottom w:val="none" w:sz="0" w:space="0" w:color="auto"/>
                                                                    <w:right w:val="none" w:sz="0" w:space="0" w:color="auto"/>
                                                                  </w:divBdr>
                                                                </w:div>
                                                                <w:div w:id="855651743">
                                                                  <w:marLeft w:val="0"/>
                                                                  <w:marRight w:val="0"/>
                                                                  <w:marTop w:val="0"/>
                                                                  <w:marBottom w:val="0"/>
                                                                  <w:divBdr>
                                                                    <w:top w:val="none" w:sz="0" w:space="0" w:color="auto"/>
                                                                    <w:left w:val="none" w:sz="0" w:space="0" w:color="auto"/>
                                                                    <w:bottom w:val="none" w:sz="0" w:space="0" w:color="auto"/>
                                                                    <w:right w:val="none" w:sz="0" w:space="0" w:color="auto"/>
                                                                  </w:divBdr>
                                                                </w:div>
                                                                <w:div w:id="855651755">
                                                                  <w:marLeft w:val="0"/>
                                                                  <w:marRight w:val="0"/>
                                                                  <w:marTop w:val="0"/>
                                                                  <w:marBottom w:val="0"/>
                                                                  <w:divBdr>
                                                                    <w:top w:val="none" w:sz="0" w:space="0" w:color="auto"/>
                                                                    <w:left w:val="none" w:sz="0" w:space="0" w:color="auto"/>
                                                                    <w:bottom w:val="none" w:sz="0" w:space="0" w:color="auto"/>
                                                                    <w:right w:val="none" w:sz="0" w:space="0" w:color="auto"/>
                                                                  </w:divBdr>
                                                                </w:div>
                                                                <w:div w:id="855651771">
                                                                  <w:marLeft w:val="0"/>
                                                                  <w:marRight w:val="0"/>
                                                                  <w:marTop w:val="0"/>
                                                                  <w:marBottom w:val="0"/>
                                                                  <w:divBdr>
                                                                    <w:top w:val="none" w:sz="0" w:space="0" w:color="auto"/>
                                                                    <w:left w:val="none" w:sz="0" w:space="0" w:color="auto"/>
                                                                    <w:bottom w:val="none" w:sz="0" w:space="0" w:color="auto"/>
                                                                    <w:right w:val="none" w:sz="0" w:space="0" w:color="auto"/>
                                                                  </w:divBdr>
                                                                </w:div>
                                                                <w:div w:id="855651774">
                                                                  <w:marLeft w:val="0"/>
                                                                  <w:marRight w:val="0"/>
                                                                  <w:marTop w:val="0"/>
                                                                  <w:marBottom w:val="0"/>
                                                                  <w:divBdr>
                                                                    <w:top w:val="none" w:sz="0" w:space="0" w:color="auto"/>
                                                                    <w:left w:val="none" w:sz="0" w:space="0" w:color="auto"/>
                                                                    <w:bottom w:val="none" w:sz="0" w:space="0" w:color="auto"/>
                                                                    <w:right w:val="none" w:sz="0" w:space="0" w:color="auto"/>
                                                                  </w:divBdr>
                                                                </w:div>
                                                                <w:div w:id="855651776">
                                                                  <w:marLeft w:val="0"/>
                                                                  <w:marRight w:val="0"/>
                                                                  <w:marTop w:val="0"/>
                                                                  <w:marBottom w:val="0"/>
                                                                  <w:divBdr>
                                                                    <w:top w:val="none" w:sz="0" w:space="0" w:color="auto"/>
                                                                    <w:left w:val="none" w:sz="0" w:space="0" w:color="auto"/>
                                                                    <w:bottom w:val="none" w:sz="0" w:space="0" w:color="auto"/>
                                                                    <w:right w:val="none" w:sz="0" w:space="0" w:color="auto"/>
                                                                  </w:divBdr>
                                                                </w:div>
                                                                <w:div w:id="855651778">
                                                                  <w:marLeft w:val="0"/>
                                                                  <w:marRight w:val="0"/>
                                                                  <w:marTop w:val="0"/>
                                                                  <w:marBottom w:val="0"/>
                                                                  <w:divBdr>
                                                                    <w:top w:val="none" w:sz="0" w:space="0" w:color="auto"/>
                                                                    <w:left w:val="none" w:sz="0" w:space="0" w:color="auto"/>
                                                                    <w:bottom w:val="none" w:sz="0" w:space="0" w:color="auto"/>
                                                                    <w:right w:val="none" w:sz="0" w:space="0" w:color="auto"/>
                                                                  </w:divBdr>
                                                                </w:div>
                                                                <w:div w:id="855651781">
                                                                  <w:marLeft w:val="0"/>
                                                                  <w:marRight w:val="0"/>
                                                                  <w:marTop w:val="0"/>
                                                                  <w:marBottom w:val="0"/>
                                                                  <w:divBdr>
                                                                    <w:top w:val="none" w:sz="0" w:space="0" w:color="auto"/>
                                                                    <w:left w:val="none" w:sz="0" w:space="0" w:color="auto"/>
                                                                    <w:bottom w:val="none" w:sz="0" w:space="0" w:color="auto"/>
                                                                    <w:right w:val="none" w:sz="0" w:space="0" w:color="auto"/>
                                                                  </w:divBdr>
                                                                </w:div>
                                                                <w:div w:id="855651782">
                                                                  <w:marLeft w:val="0"/>
                                                                  <w:marRight w:val="0"/>
                                                                  <w:marTop w:val="0"/>
                                                                  <w:marBottom w:val="0"/>
                                                                  <w:divBdr>
                                                                    <w:top w:val="none" w:sz="0" w:space="0" w:color="auto"/>
                                                                    <w:left w:val="none" w:sz="0" w:space="0" w:color="auto"/>
                                                                    <w:bottom w:val="none" w:sz="0" w:space="0" w:color="auto"/>
                                                                    <w:right w:val="none" w:sz="0" w:space="0" w:color="auto"/>
                                                                  </w:divBdr>
                                                                </w:div>
                                                                <w:div w:id="855651788">
                                                                  <w:marLeft w:val="0"/>
                                                                  <w:marRight w:val="0"/>
                                                                  <w:marTop w:val="0"/>
                                                                  <w:marBottom w:val="0"/>
                                                                  <w:divBdr>
                                                                    <w:top w:val="none" w:sz="0" w:space="0" w:color="auto"/>
                                                                    <w:left w:val="none" w:sz="0" w:space="0" w:color="auto"/>
                                                                    <w:bottom w:val="none" w:sz="0" w:space="0" w:color="auto"/>
                                                                    <w:right w:val="none" w:sz="0" w:space="0" w:color="auto"/>
                                                                  </w:divBdr>
                                                                </w:div>
                                                                <w:div w:id="855651792">
                                                                  <w:marLeft w:val="0"/>
                                                                  <w:marRight w:val="0"/>
                                                                  <w:marTop w:val="0"/>
                                                                  <w:marBottom w:val="0"/>
                                                                  <w:divBdr>
                                                                    <w:top w:val="none" w:sz="0" w:space="0" w:color="auto"/>
                                                                    <w:left w:val="none" w:sz="0" w:space="0" w:color="auto"/>
                                                                    <w:bottom w:val="none" w:sz="0" w:space="0" w:color="auto"/>
                                                                    <w:right w:val="none" w:sz="0" w:space="0" w:color="auto"/>
                                                                  </w:divBdr>
                                                                </w:div>
                                                                <w:div w:id="855651797">
                                                                  <w:marLeft w:val="0"/>
                                                                  <w:marRight w:val="0"/>
                                                                  <w:marTop w:val="0"/>
                                                                  <w:marBottom w:val="0"/>
                                                                  <w:divBdr>
                                                                    <w:top w:val="none" w:sz="0" w:space="0" w:color="auto"/>
                                                                    <w:left w:val="none" w:sz="0" w:space="0" w:color="auto"/>
                                                                    <w:bottom w:val="none" w:sz="0" w:space="0" w:color="auto"/>
                                                                    <w:right w:val="none" w:sz="0" w:space="0" w:color="auto"/>
                                                                  </w:divBdr>
                                                                </w:div>
                                                                <w:div w:id="8556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5651793">
      <w:marLeft w:val="0"/>
      <w:marRight w:val="0"/>
      <w:marTop w:val="0"/>
      <w:marBottom w:val="0"/>
      <w:divBdr>
        <w:top w:val="none" w:sz="0" w:space="0" w:color="auto"/>
        <w:left w:val="none" w:sz="0" w:space="0" w:color="auto"/>
        <w:bottom w:val="none" w:sz="0" w:space="0" w:color="auto"/>
        <w:right w:val="none" w:sz="0" w:space="0" w:color="auto"/>
      </w:divBdr>
      <w:divsChild>
        <w:div w:id="855651718">
          <w:marLeft w:val="0"/>
          <w:marRight w:val="0"/>
          <w:marTop w:val="0"/>
          <w:marBottom w:val="0"/>
          <w:divBdr>
            <w:top w:val="none" w:sz="0" w:space="0" w:color="auto"/>
            <w:left w:val="none" w:sz="0" w:space="0" w:color="auto"/>
            <w:bottom w:val="none" w:sz="0" w:space="0" w:color="auto"/>
            <w:right w:val="none" w:sz="0" w:space="0" w:color="auto"/>
          </w:divBdr>
        </w:div>
        <w:div w:id="855651721">
          <w:marLeft w:val="0"/>
          <w:marRight w:val="0"/>
          <w:marTop w:val="0"/>
          <w:marBottom w:val="0"/>
          <w:divBdr>
            <w:top w:val="none" w:sz="0" w:space="0" w:color="auto"/>
            <w:left w:val="none" w:sz="0" w:space="0" w:color="auto"/>
            <w:bottom w:val="none" w:sz="0" w:space="0" w:color="auto"/>
            <w:right w:val="none" w:sz="0" w:space="0" w:color="auto"/>
          </w:divBdr>
        </w:div>
        <w:div w:id="855651729">
          <w:marLeft w:val="0"/>
          <w:marRight w:val="0"/>
          <w:marTop w:val="0"/>
          <w:marBottom w:val="0"/>
          <w:divBdr>
            <w:top w:val="none" w:sz="0" w:space="0" w:color="auto"/>
            <w:left w:val="none" w:sz="0" w:space="0" w:color="auto"/>
            <w:bottom w:val="none" w:sz="0" w:space="0" w:color="auto"/>
            <w:right w:val="none" w:sz="0" w:space="0" w:color="auto"/>
          </w:divBdr>
        </w:div>
        <w:div w:id="855651737">
          <w:marLeft w:val="0"/>
          <w:marRight w:val="0"/>
          <w:marTop w:val="0"/>
          <w:marBottom w:val="0"/>
          <w:divBdr>
            <w:top w:val="none" w:sz="0" w:space="0" w:color="auto"/>
            <w:left w:val="none" w:sz="0" w:space="0" w:color="auto"/>
            <w:bottom w:val="none" w:sz="0" w:space="0" w:color="auto"/>
            <w:right w:val="none" w:sz="0" w:space="0" w:color="auto"/>
          </w:divBdr>
        </w:div>
        <w:div w:id="855651740">
          <w:marLeft w:val="0"/>
          <w:marRight w:val="0"/>
          <w:marTop w:val="0"/>
          <w:marBottom w:val="0"/>
          <w:divBdr>
            <w:top w:val="none" w:sz="0" w:space="0" w:color="auto"/>
            <w:left w:val="none" w:sz="0" w:space="0" w:color="auto"/>
            <w:bottom w:val="none" w:sz="0" w:space="0" w:color="auto"/>
            <w:right w:val="none" w:sz="0" w:space="0" w:color="auto"/>
          </w:divBdr>
        </w:div>
        <w:div w:id="855651741">
          <w:marLeft w:val="0"/>
          <w:marRight w:val="0"/>
          <w:marTop w:val="0"/>
          <w:marBottom w:val="0"/>
          <w:divBdr>
            <w:top w:val="none" w:sz="0" w:space="0" w:color="auto"/>
            <w:left w:val="none" w:sz="0" w:space="0" w:color="auto"/>
            <w:bottom w:val="none" w:sz="0" w:space="0" w:color="auto"/>
            <w:right w:val="none" w:sz="0" w:space="0" w:color="auto"/>
          </w:divBdr>
        </w:div>
        <w:div w:id="855651742">
          <w:marLeft w:val="0"/>
          <w:marRight w:val="0"/>
          <w:marTop w:val="0"/>
          <w:marBottom w:val="0"/>
          <w:divBdr>
            <w:top w:val="none" w:sz="0" w:space="0" w:color="auto"/>
            <w:left w:val="none" w:sz="0" w:space="0" w:color="auto"/>
            <w:bottom w:val="none" w:sz="0" w:space="0" w:color="auto"/>
            <w:right w:val="none" w:sz="0" w:space="0" w:color="auto"/>
          </w:divBdr>
        </w:div>
        <w:div w:id="855651749">
          <w:marLeft w:val="0"/>
          <w:marRight w:val="0"/>
          <w:marTop w:val="0"/>
          <w:marBottom w:val="0"/>
          <w:divBdr>
            <w:top w:val="none" w:sz="0" w:space="0" w:color="auto"/>
            <w:left w:val="none" w:sz="0" w:space="0" w:color="auto"/>
            <w:bottom w:val="none" w:sz="0" w:space="0" w:color="auto"/>
            <w:right w:val="none" w:sz="0" w:space="0" w:color="auto"/>
          </w:divBdr>
        </w:div>
        <w:div w:id="855651768">
          <w:marLeft w:val="0"/>
          <w:marRight w:val="0"/>
          <w:marTop w:val="0"/>
          <w:marBottom w:val="0"/>
          <w:divBdr>
            <w:top w:val="none" w:sz="0" w:space="0" w:color="auto"/>
            <w:left w:val="none" w:sz="0" w:space="0" w:color="auto"/>
            <w:bottom w:val="none" w:sz="0" w:space="0" w:color="auto"/>
            <w:right w:val="none" w:sz="0" w:space="0" w:color="auto"/>
          </w:divBdr>
        </w:div>
        <w:div w:id="855651780">
          <w:marLeft w:val="0"/>
          <w:marRight w:val="0"/>
          <w:marTop w:val="0"/>
          <w:marBottom w:val="0"/>
          <w:divBdr>
            <w:top w:val="none" w:sz="0" w:space="0" w:color="auto"/>
            <w:left w:val="none" w:sz="0" w:space="0" w:color="auto"/>
            <w:bottom w:val="none" w:sz="0" w:space="0" w:color="auto"/>
            <w:right w:val="none" w:sz="0" w:space="0" w:color="auto"/>
          </w:divBdr>
        </w:div>
      </w:divsChild>
    </w:div>
    <w:div w:id="855651795">
      <w:marLeft w:val="0"/>
      <w:marRight w:val="0"/>
      <w:marTop w:val="0"/>
      <w:marBottom w:val="0"/>
      <w:divBdr>
        <w:top w:val="none" w:sz="0" w:space="0" w:color="auto"/>
        <w:left w:val="none" w:sz="0" w:space="0" w:color="auto"/>
        <w:bottom w:val="none" w:sz="0" w:space="0" w:color="auto"/>
        <w:right w:val="none" w:sz="0" w:space="0" w:color="auto"/>
      </w:divBdr>
    </w:div>
    <w:div w:id="855651799">
      <w:marLeft w:val="0"/>
      <w:marRight w:val="0"/>
      <w:marTop w:val="0"/>
      <w:marBottom w:val="0"/>
      <w:divBdr>
        <w:top w:val="none" w:sz="0" w:space="0" w:color="auto"/>
        <w:left w:val="none" w:sz="0" w:space="0" w:color="auto"/>
        <w:bottom w:val="none" w:sz="0" w:space="0" w:color="auto"/>
        <w:right w:val="none" w:sz="0" w:space="0" w:color="auto"/>
      </w:divBdr>
      <w:divsChild>
        <w:div w:id="855651714">
          <w:marLeft w:val="0"/>
          <w:marRight w:val="0"/>
          <w:marTop w:val="0"/>
          <w:marBottom w:val="0"/>
          <w:divBdr>
            <w:top w:val="none" w:sz="0" w:space="0" w:color="auto"/>
            <w:left w:val="none" w:sz="0" w:space="0" w:color="auto"/>
            <w:bottom w:val="none" w:sz="0" w:space="0" w:color="auto"/>
            <w:right w:val="none" w:sz="0" w:space="0" w:color="auto"/>
          </w:divBdr>
        </w:div>
        <w:div w:id="855651716">
          <w:marLeft w:val="0"/>
          <w:marRight w:val="0"/>
          <w:marTop w:val="0"/>
          <w:marBottom w:val="0"/>
          <w:divBdr>
            <w:top w:val="none" w:sz="0" w:space="0" w:color="auto"/>
            <w:left w:val="none" w:sz="0" w:space="0" w:color="auto"/>
            <w:bottom w:val="none" w:sz="0" w:space="0" w:color="auto"/>
            <w:right w:val="none" w:sz="0" w:space="0" w:color="auto"/>
          </w:divBdr>
        </w:div>
        <w:div w:id="855651725">
          <w:marLeft w:val="0"/>
          <w:marRight w:val="0"/>
          <w:marTop w:val="0"/>
          <w:marBottom w:val="0"/>
          <w:divBdr>
            <w:top w:val="none" w:sz="0" w:space="0" w:color="auto"/>
            <w:left w:val="none" w:sz="0" w:space="0" w:color="auto"/>
            <w:bottom w:val="none" w:sz="0" w:space="0" w:color="auto"/>
            <w:right w:val="none" w:sz="0" w:space="0" w:color="auto"/>
          </w:divBdr>
        </w:div>
        <w:div w:id="855651728">
          <w:marLeft w:val="0"/>
          <w:marRight w:val="0"/>
          <w:marTop w:val="0"/>
          <w:marBottom w:val="0"/>
          <w:divBdr>
            <w:top w:val="none" w:sz="0" w:space="0" w:color="auto"/>
            <w:left w:val="none" w:sz="0" w:space="0" w:color="auto"/>
            <w:bottom w:val="none" w:sz="0" w:space="0" w:color="auto"/>
            <w:right w:val="none" w:sz="0" w:space="0" w:color="auto"/>
          </w:divBdr>
        </w:div>
        <w:div w:id="855651756">
          <w:marLeft w:val="0"/>
          <w:marRight w:val="0"/>
          <w:marTop w:val="0"/>
          <w:marBottom w:val="0"/>
          <w:divBdr>
            <w:top w:val="none" w:sz="0" w:space="0" w:color="auto"/>
            <w:left w:val="none" w:sz="0" w:space="0" w:color="auto"/>
            <w:bottom w:val="none" w:sz="0" w:space="0" w:color="auto"/>
            <w:right w:val="none" w:sz="0" w:space="0" w:color="auto"/>
          </w:divBdr>
        </w:div>
      </w:divsChild>
    </w:div>
    <w:div w:id="942613672">
      <w:bodyDiv w:val="1"/>
      <w:marLeft w:val="0"/>
      <w:marRight w:val="0"/>
      <w:marTop w:val="0"/>
      <w:marBottom w:val="0"/>
      <w:divBdr>
        <w:top w:val="none" w:sz="0" w:space="0" w:color="auto"/>
        <w:left w:val="none" w:sz="0" w:space="0" w:color="auto"/>
        <w:bottom w:val="none" w:sz="0" w:space="0" w:color="auto"/>
        <w:right w:val="none" w:sz="0" w:space="0" w:color="auto"/>
      </w:divBdr>
    </w:div>
    <w:div w:id="1383093694">
      <w:bodyDiv w:val="1"/>
      <w:marLeft w:val="0"/>
      <w:marRight w:val="0"/>
      <w:marTop w:val="0"/>
      <w:marBottom w:val="0"/>
      <w:divBdr>
        <w:top w:val="none" w:sz="0" w:space="0" w:color="auto"/>
        <w:left w:val="none" w:sz="0" w:space="0" w:color="auto"/>
        <w:bottom w:val="none" w:sz="0" w:space="0" w:color="auto"/>
        <w:right w:val="none" w:sz="0" w:space="0" w:color="auto"/>
      </w:divBdr>
    </w:div>
    <w:div w:id="1730110248">
      <w:bodyDiv w:val="1"/>
      <w:marLeft w:val="0"/>
      <w:marRight w:val="0"/>
      <w:marTop w:val="0"/>
      <w:marBottom w:val="0"/>
      <w:divBdr>
        <w:top w:val="none" w:sz="0" w:space="0" w:color="auto"/>
        <w:left w:val="none" w:sz="0" w:space="0" w:color="auto"/>
        <w:bottom w:val="none" w:sz="0" w:space="0" w:color="auto"/>
        <w:right w:val="none" w:sz="0" w:space="0" w:color="auto"/>
      </w:divBdr>
    </w:div>
    <w:div w:id="1730689192">
      <w:bodyDiv w:val="1"/>
      <w:marLeft w:val="0"/>
      <w:marRight w:val="0"/>
      <w:marTop w:val="0"/>
      <w:marBottom w:val="0"/>
      <w:divBdr>
        <w:top w:val="none" w:sz="0" w:space="0" w:color="auto"/>
        <w:left w:val="none" w:sz="0" w:space="0" w:color="auto"/>
        <w:bottom w:val="none" w:sz="0" w:space="0" w:color="auto"/>
        <w:right w:val="none" w:sz="0" w:space="0" w:color="auto"/>
      </w:divBdr>
    </w:div>
    <w:div w:id="1768575938">
      <w:bodyDiv w:val="1"/>
      <w:marLeft w:val="0"/>
      <w:marRight w:val="0"/>
      <w:marTop w:val="0"/>
      <w:marBottom w:val="0"/>
      <w:divBdr>
        <w:top w:val="none" w:sz="0" w:space="0" w:color="auto"/>
        <w:left w:val="none" w:sz="0" w:space="0" w:color="auto"/>
        <w:bottom w:val="none" w:sz="0" w:space="0" w:color="auto"/>
        <w:right w:val="none" w:sz="0" w:space="0" w:color="auto"/>
      </w:divBdr>
    </w:div>
    <w:div w:id="1774402521">
      <w:bodyDiv w:val="1"/>
      <w:marLeft w:val="0"/>
      <w:marRight w:val="0"/>
      <w:marTop w:val="0"/>
      <w:marBottom w:val="0"/>
      <w:divBdr>
        <w:top w:val="none" w:sz="0" w:space="0" w:color="auto"/>
        <w:left w:val="none" w:sz="0" w:space="0" w:color="auto"/>
        <w:bottom w:val="none" w:sz="0" w:space="0" w:color="auto"/>
        <w:right w:val="none" w:sz="0" w:space="0" w:color="auto"/>
      </w:divBdr>
    </w:div>
    <w:div w:id="203353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AF96E-5DDE-44CF-AFC9-22C17AEA0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2413</TotalTime>
  <Pages>11</Pages>
  <Words>4577</Words>
  <Characters>25179</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MEMORANDO</vt:lpstr>
    </vt:vector>
  </TitlesOfParts>
  <Company>CONCEJO SANTAFE DE BOGOTA</Company>
  <LinksUpToDate>false</LinksUpToDate>
  <CharactersWithSpaces>29697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WILSON L. MORENO C.</dc:creator>
  <cp:keywords/>
  <dc:description/>
  <cp:lastModifiedBy>YESENIA DONOSO HERRERA</cp:lastModifiedBy>
  <cp:revision>4</cp:revision>
  <cp:lastPrinted>2014-02-11T19:04:00Z</cp:lastPrinted>
  <dcterms:created xsi:type="dcterms:W3CDTF">2025-08-25T21:36:00Z</dcterms:created>
  <dcterms:modified xsi:type="dcterms:W3CDTF">2025-08-27T19:01:00Z</dcterms:modified>
</cp:coreProperties>
</file>